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16. maijā (prot. Nr. 26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 Gadskārtējā valsts budžeta izpildes procesā pārdalāmais finansējums" programmā 01.00.00 "Apropriācijas rezerve"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 </w:t>
      </w:r>
      <w:r w:rsidR="00000000" w:rsidRPr="00000000" w:rsidDel="00000000">
        <w:rPr>
          <w:rtl w:val="0"/>
        </w:rPr>
        <w:t xml:space="preserve">Likuma par budžetu un finanšu vadību 9.</w:t>
      </w:r>
      <w:r w:rsidR="00000000" w:rsidRPr="00000000" w:rsidDel="00000000">
        <w:rPr>
          <w:vertAlign w:val="superscript"/>
          <w:rtl w:val="0"/>
        </w:rPr>
        <w:t xml:space="preserve">¹</w:t>
      </w:r>
      <w:r w:rsidR="00000000" w:rsidRPr="00000000" w:rsidDel="00000000">
        <w:rPr>
          <w:rtl w:val="0"/>
        </w:rPr>
        <w:t xml:space="preserve"> panta</w:t>
      </w:r>
      <w:r w:rsidR="00000000" w:rsidRPr="00000000" w:rsidDel="00000000">
        <w:rPr>
          <w:rtl w:val="0"/>
        </w:rPr>
        <w:t xml:space="preserve">  sestajai daļai atļaut finanšu ministram palielināt likumā "</w:t>
      </w:r>
      <w:r w:rsidR="00000000" w:rsidRPr="00000000" w:rsidDel="00000000">
        <w:rPr>
          <w:rtl w:val="0"/>
        </w:rPr>
        <w:t xml:space="preserve">Par valsts budžetu 2023. gadam un budžeta ietvaru 2023., 2024. un 2025. gadam</w:t>
      </w:r>
      <w:r w:rsidR="00000000" w:rsidRPr="00000000" w:rsidDel="00000000">
        <w:rPr>
          <w:rtl w:val="0"/>
        </w:rPr>
        <w:t xml:space="preserve">" noteikto apropriāciju 2023. gadam budžeta resora "74. Gadskārtējā valsts budžeta izpildes procesā pārdalāmais finansējums" programmā 01.00.00 "Apropriācijas rezerve" 89 731 151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nodrošinātu finansējumu neizlietoto asignējumu rezervei.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23-TA-1108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23-TA-1108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