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711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12. novembrī (prot. Nr. 48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30. aprīļa noteikumos Nr. 240 "Vispārīgie teritorijas plānošanas, izmantošanas un apbūves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Teritorijas attīstības plānošanas likuma</w:t>
      </w:r>
      <w:r w:rsidR="00000000" w:rsidRPr="00000000" w:rsidDel="00000000">
        <w:rPr>
          <w:rStyle w:val="paragraph"/>
          <w:i w:val="1"/>
          <w:rtl w:val="0"/>
        </w:rPr>
        <w:t xml:space="preserve"> 7. panta pirmās daļas 6. un 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30. aprīļa noteikumos Nr. 240 "Vispārīgie teritorijas plānošanas, izmantošanas un apbūves noteikumi" (Latvijas Vēstnesis, 2013, 96. nr.; 2019, 203. nr.; 2020, 200.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Teritorijas attīstības plānošanas likuma 7. panta pirmās daļas 6. un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 vides piekļūstamība – iespēja jebkuram cilvēkam neatkarīgi no vecuma un fiziskām spējām brīvi un patstāvīgi piekļūt un pārvietoties vidē atbilstoši būves vai telpas funkcijai;".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Plānojot jaunu apbūvi, teritorijas plānojumā, lokālplānojumā vai detālplānojumā var izvirzīt nosacījumus tādas publiskiem mērķiem paredzētas teritorijas daļas veidošanai un izmantošanai, kas plānota publiskajai ārtelpai vai publiskiem apstādījumiem (kas neietilpst ielu, ceļu un laukumu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Teritorijas plānojumos vai lokālplānojumos nosaka funkcionālās zonas, lai parādītu un nodalītu dažādu teritoriju atšķirīgās funkcijas un pazīmes, kā arī noteiktu atļautos izmantošanas veidus. Detālplānojumos attēlo funkcionālās zonas un detalizē teritorijas izmantošanu šo funkcionālo zonu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Teritorijas plānojumā, lokālplānojumā un detālplānojumā funkcionālajām zonām un teritorijām ar īpašiem noteikumiem izmanto šo noteikumu 1.</w:t>
      </w:r>
      <w:r w:rsidR="00000000" w:rsidRPr="00000000" w:rsidDel="00000000">
        <w:rPr>
          <w:vertAlign w:val="superscript"/>
          <w:rtl w:val="0"/>
        </w:rPr>
        <w:t xml:space="preserve">1 </w:t>
      </w:r>
      <w:r w:rsidR="00000000" w:rsidRPr="00000000" w:rsidDel="00000000">
        <w:rPr>
          <w:rtl w:val="0"/>
        </w:rPr>
        <w:t xml:space="preserve">pielikumā minētos apzīmējumus."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Atbilstoši konkrētajai situācijai un izvēlētajai detalizācijas pakāpei teritorijas plānojumā vai lokālplānojumā katrai funkcionālajai zonai var noteikt apakšzonas, pievienojot funkcionālās zonas apzīmējuma burtiem ciparu indeksu. Katrai zonai un apakšzonai attiecīgi teritorijas plānojuma vai lokālplānojuma apbūves noteikumos nosaka atļautos izmantošanas veidus atbilstoši šo noteikumu 4. pielikumā norādītajam izmantošanas veidu aprakstam un, ja nepieciešams, konkrētus apbūves parametrus."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Šo noteikumu 4.2.–4.13. apakšnodaļā norādīts atļauto izmantošanas veidu uzskaitījums konkrētā funkcionālajā zonā, kuru var samazināt atbilstoši attiecīgās teritorijas plānotajai attīstībai un specifikai. Atbilstoši nepieciešamībai var sašaurināt (detalizēt) arī izmantošanas veidu aprakstu."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galvenos izmantošanas veidus,</w:t>
      </w:r>
      <w:r w:rsidR="00000000" w:rsidRPr="00000000" w:rsidDel="00000000">
        <w:rPr>
          <w:b w:val="1"/>
          <w:rtl w:val="0"/>
        </w:rPr>
        <w:t xml:space="preserve"> </w:t>
      </w:r>
      <w:r w:rsidR="00000000" w:rsidRPr="00000000" w:rsidDel="00000000">
        <w:rPr>
          <w:rtl w:val="0"/>
        </w:rPr>
        <w:t xml:space="preserve">atļautos papildizmantošanas veidus atbilstoši šo noteikumu 19.</w:t>
      </w:r>
      <w:r w:rsidR="00000000" w:rsidRPr="00000000" w:rsidDel="00000000">
        <w:rPr>
          <w:vertAlign w:val="superscript"/>
          <w:rtl w:val="0"/>
        </w:rPr>
        <w:t xml:space="preserve">1</w:t>
      </w:r>
      <w:r w:rsidR="00000000" w:rsidRPr="00000000" w:rsidDel="00000000">
        <w:rPr>
          <w:rtl w:val="0"/>
        </w:rPr>
        <w:t xml:space="preserve"> punktam un 4. pielikumā norādītajam izmantošanas veidu aprakstam, kā arī nepieciešamos apbūves parametrus;".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Teritorijas plānojuma vai lokālplānojuma apbūves noteikumos var noteikt papildu nosacījumus, kurus izpildot papildizmantošana var tikt īstenota kā vienīgā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Mazstāvu dzīvojamās apbūves teritorijas galvenais izmantošanas veids ir savrupmāju apbūve, rindu māju apbūve un daudzdzīvokļu māju apbūve."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vieglās rūpniecības uzņēmumu apbūve;".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 transporta apkalpojošā infrastruktūra;".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35.3.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 noliktavu apbūve."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Publiskās apbūves teritorijā kā papildizmantošanas veidu var noteikt: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 dzīvojamo apbūvi un teritorijas izmantošanu: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38.1.1. rindu māju apbūve;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38.1.2. daudzdzīvokļu māju apbūve;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 vieglās rūpniecības uzņēmumu apbūvi."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Rūpnieciskās apbūves teritorija (R) ir funkcionālā zona, ko nosaka, lai nodrošinātu industriālo teritoriju un rūpniecības uzņēmumu darbībai un attīstībai nepieciešamo teritorijas organizāciju, inženiertehnisko apgādi un transporta infrastruktūru."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Rūpnieciskās apbūves teritorijā var noteikt šādus papildizmantošanas veidus: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publiskā apbūve un teritorijas izmantošana: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41.1.1. biroju ēku apbūve;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41.1.2. tirdzniecības un pakalpojumu objektu apbūve;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41.1.3. aizsardzības un drošības iestāžu apbūve;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41.1.4. sporta būvju apbūve;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mežsaimnieciska izmantošana kā rekultivācijas veids pēc derīgo izrakteņu ieguves."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50.3.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"50.3. ūdenssaimnieciska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"53.5. inženiertehniskā infrastruktūra un energoapgādes uzņēmumu apbūve, kas ietver tikai vēja elektrostaciju un vēja parku izvietošanu;".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53.6.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"53.6. ūdenssaimnieciska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Lauksaimniecības teritorija (L) ir funkcionālā zona, ko nosaka, lai nodrošinātu lauksaimniecības zemes kā resursa racionālu un daudzveidīgu izmantošanu visu veidu lauksaimnieciskajai darbībai un ar to saistītajiem pakalpojumiem, kā arī vēsturiskās apbūves struktūras saglabāšanai un daudzveidīgai izmantošanai pilsētās un ciemos."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56.4.10.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"56.4.10. izglītības un zinātnes iestāžu apbūve;".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transporta infrastruktūru, kas balstīta uz hierarhisku pašvaldības ceļu tīkla;".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61.1.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w:t>
      </w:r>
      <w:r w:rsidR="00000000" w:rsidRPr="00000000" w:rsidDel="00000000">
        <w:rPr>
          <w:vertAlign w:val="superscript"/>
          <w:rtl w:val="0"/>
        </w:rPr>
        <w:t xml:space="preserve">1</w:t>
      </w:r>
      <w:r w:rsidR="00000000" w:rsidRPr="00000000" w:rsidDel="00000000">
        <w:rPr>
          <w:rtl w:val="0"/>
        </w:rPr>
        <w:t xml:space="preserve"> pašvaldības ceļu tīkla sasaisti ar valsts autoceļu tīklu;".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61.2.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inženiertīklu nodrošinājumu;".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61.3.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daudzveidīgu teritorijas izmantošanu ar iespējām nodrošināt iedzīvotājiem nepieciešamo pakalpojumu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 69.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Teritorijas plānojumā vai lokālplānojumā atbilstoši mēroga noteiktībai paredz piekļuves iespējas publiskajiem ūdeņiem. Lokālplānojumos un detālplānojumos nosaka to izvietojumu un risinājumu."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 74.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78.1.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"78.1. esošos un plānotos autoceļus un ielas (norādot to nozīmi);".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Ja tiek plānoti objekti, kuru darbības dēļ var pieaugt satiksmes intensitāte un traucējumi citiem satiksmes dalībniekiem, kā arī rasties papildu noslodze un cita negatīva ietekme transporta infrastruktūrai, izstrādā transporta plūsmas shēmu, ko iekļauj lokālplānojumā, detālplānojumā vai būvprojektā."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86.1.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"86.1. galvenā iela (B kategorija) – valsts galveno vai reģionālo autoceļu sākums, turpinājums vai beigas ar dominējošu savienošanas funkciju un pakārtotu piekļūšanas funkciju. Šādu ielu izbūvē noteicošā ir savienošanas funkcijas īstenošana un atbilstošu kvalitātes prasību ievērošana;".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Esošo un plānoto ielu sarkanās līnijas nosaka teritorijas plānojuma vai lokālplānojuma apbūves noteikumos vai detālplānojuma teritorijas izmantošanas un apbūves nosacījumos un atkarībā no detalizācijas pakāpes attēlo grafiskajā 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Lauku teritorijā pievienojumu autoceļiem plāno prioritārā secībā: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94.1. vispirms izvērtē iespēju veidot pievienojumu zemākas funkcijas un nozīmes pašvaldības autoceļam;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94.2. ja nav iespējams veidot pievienojumu pašvaldības autoceļam, veido pievienojumu valsts autoceļam, prioritāri izvērtējot iespēju pievienoties zemākas nozīmes valsts autoceļam."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97.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 Veicot ielu pārbūvi esošās apbūves teritorijās un pilsētu vēsturiskajos centros, brauktuvju noapaļojumu rādiusu minimālos lielumus var samazināt atbilstoši esošajai situācijai."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6.5.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"6.5. Ietves un gājēju ceļi".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98.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 Projektējot un izbūvējot ietves, ievēro vides piekļūstamības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102.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Gājēju ceļi atbilst šādām vides piekļūstamības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102.1. gājēju ceļa platums – ne mazāks par 1,2 m, tā iesegums – no cieta un jebkuros laikapstākļos neslīdoša materiāla;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102.2. gājēju ceļa robeža ir skaidri saskatāma un sataustāma. To nodrošina, izmantojot marķējumu, atšķirīgas krāsas vai reljefa iesegumu."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 6.6.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 6.7.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Papildināt ar 116.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Ja zemes vienības daļai noteikta funkcionālā zona – dabas un apstādījumu teritorija (DA) –, būvvalde vai institūcija, kas pilda būvvaldes funkcijas, var iekļaut šīs teritorijas platību apbūves intensitātes aprēķinā visai zemes vienībai."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Papildināt ar 131.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Ja tiesisko vai faktisko apstākļu, tai skaitā esošu inženiertīklu, dēļ nav iespējams ievērot noteiktās būvlaides, būvvalde vai institūcija, kas pilda būvvaldes funkcijas, var saskaņot atkāpes no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132.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Jaunbūvējamās būves izvieto ne tuvāk par 4 m no zemes vienības robežām. Šo attālumu var samazināt, ja blakus esošā zemes vienība pieder tam pašam īpašniekam vai ja saņemts blakus esošās zemes vienības īpašnieka saskaņojums."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Šo noteikumu 132. punkts nav attiecināms uz: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 transporta inženierbūvēm un ar tām saistīto infrastruktūru, termināļiem;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133.2. inženiertīkliem un to objektiem, tai skaitā inženiertīklu pievadiem;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133.3. hidrotehniskām būvēm (dambjiem, aizsprostiem, moliem un līdzīga rakstura objektiem);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133.4. inženierbūvēm, kuras nav augstākas par 1,6 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133.5. žogiem, tai skaitā mūriem, neatkarīgi no to augstuma."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 133.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 136.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144.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Plānojot inženierbūves, kas atbilst vispārīgajos būvnoteikumos noteiktā inženierbūvju iedalījuma III grupai, transporta un loģistikas objektus, rūpnieciskās ražošanas un pārstrādes uzņēmumus, tai skaitā derīgo izrakteņu ieguves vietas, atkritumu poligonus, biogāzes koģenerācijas stacijas un citus līdzīga rakstura objektus, kā arī potenciālus rūpniecisko avāriju riska objektus, teritorijas plānojumā vai lokālplānojumā nosaka vai detālplānojumā paredz: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144.1. pasākumus šādu objektu ietekmes mazināšanai uz apkārtējām teritorijām;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144.2. transporta plūsmas organizāciju, lai netiktu ietekmētas dzīvojamās un publiskās apbūves teritorijas;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144.3. drošības attālumus līdz dzīvojamai un publiskai apbūvei, nosakot tajos teritorijas izmantošanas aprobežojumus."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147.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vertAlign w:val="superscript"/>
          <w:rtl w:val="0"/>
        </w:rPr>
        <w:t xml:space="preserve">1</w:t>
      </w:r>
      <w:r w:rsidR="00000000" w:rsidRPr="00000000" w:rsidDel="00000000">
        <w:rPr>
          <w:rtl w:val="0"/>
        </w:rPr>
        <w:t xml:space="preserve"> Teritorijās, kur atbilstoši normatīvajiem aktiem jāizstrādā (vai ir izstrādātas) trokšņa stratēģiskās kartes, neplāno jaunus izmantošanas veidus, kam būs jānosaka zemāki trokšņa robežlīmeņi, un paredz tādus izmantošanas veidus, kam nav noteikti trokšņa robežlielumi vai tie netiek pārsniegti."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148.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 Ūdensapgādi un kanalizāciju jaunas apbūves teritorijās plāno, izvērtējot riskus videi un cilvēku veselībai un centralizēto kanalizācijas risinājumu tehniski ekonomisko pamatotību, atbilstoši paredzot centralizētas vai decentralizētas ūdensapgādes un kanalizācijas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150.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 Pilsētās un ciemos teritorijās, kas noteiktas kā teritorijas ar īpašiem noteikumiem (TIN1), paredz obligātu centralizētu ūdensapgādi un kanalizāciju šādās apbūves teritorijās: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150.1. mazstāvu un daudzstāvu dzīvojamās apbūves teritorijas;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150.2. publiskās apbūves teritorijas;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150.3. jauktas centra apbūves teritorijas;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150.4. savrupmāju apbūves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151.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 Pilsētās un ciemos šo noteikumu 150. punktā minētajās apbūves teritorijās kā pagaidu risinājumu līdz centralizētu ūdensapgādes un kanalizācijas tīklu izbūvei var ierīkot vietējo ūdensapgādi un decentralizētas kanalizācijas sistēmas, paredzot pieslēgšanas iespējas centralizētajiem tīkliem pēc to izbūves."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153.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 Lokālplānojumā vai detālplānojumā norāda ūdens ņemšanas vietas ugunsdzēsības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161.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Vēja elektrostacijas, kuru jauda ir lielāka par 20 kW, atļauts izvietot rūpnieciskās apbūves teritorijā (R), tehniskās apbūves teritorijā (TA), lauksaimniecības teritorijā (L) un mežu teritorijā (M) atbilstoši ietekmes uz vidi novērtējuma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 8.5.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173.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Autostāvvietu kases automātu, bankomātu, reklāmas stabu un citu objektu izvietojums nedrīkst traucēt gājēju, bērnu ratiņu un riteņkrēslu lietotāju pārvietošanos. Brīvās ietves platums nevar būt mazāks par 1,2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175.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 Publiski pieejamas pasažieru kuģu, jahtu un laivu piestātnes norāda teritorijas plānojumā vai lokālplānojumā un ierīko, ievērojot būvniecības, dabas aizsardzības un vides piekļūstamības jomu regulējošo normatīvo aktu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177.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 Jahtu un laivu piestātņu platformas un uzbrauktuves izbūvē, ievērojot šādas vides piekļūstamības un drošības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177.1. aprīko ar margām un drošības apmalēm;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177.2. izvēlas tādus izmērus, kas nodrošina pietiekamas manevrēšanas iespējas;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177.3. izmanto neslīdošus ieseguma materiālus."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180.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"180. Publiskos objektus, tai skaitā publisko pasākumu vietas un atpūtas vietas dabā, nodrošina ar tualetēm, kas iekārtotas, ievērojot vides piekļūstamības prasības un paredzot vietu papildu tualešu izvietošanai publisko pasākumu norišu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182.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Atpūtas vietas iekārto atbilstoši higiēnas un vides aizsardzības prasībām, paredzot atkritumu savākšanas vietas un vides piekļūstamības prasībām atbilstošas tualetes."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183.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Publiski pieejamas peldvietas ierīko, ievērojot prasības, kas noteiktas normatīvajos aktos par peldvietas izveidošanu un uzturēšanu, kā arī vides piekļūstamības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186.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"186. Veidojot jaunas vai pārbūvējot esošās dabas takas, vietās, kur dabas takai ir bīstams slīpums, krauja vai nogāze vai tā tieši ved uz ūdensobjektu vai stāvu krauju, paredz drošas margas divos augstumos – 0,7 m un 1,1 m – vai aizsargbarjeras 1,1 m augstumā."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203.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Autonovietnēs publiskajā ārtelpā un pie publiskām ēkām paredz speciālas – ne mazāk kā 3,5 m platas – autostāvvietas. Speciālās autostāvvietas izvieto vistuvāk objektam."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204.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Ja pie publiskās ēkas paredzēts veidot vairāk nekā 10 autostāvvietu, paredz vismaz vienu speciālu – ne mazāk kā 3,5 m platu – autostāvvietu uz katrām 20 autostāvvietām. Ja pie publiskās ēkas paredzēts veidot mazāk par 10 autostāvvietām, paredz vismaz vienu speciālu – ne mazāk kā 3,5 m platu – autostāvvietu."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205.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 Pie jaunbūvējamām daudzdzīvokļu mājām nodrošina vismaz vienu speciālu – ne mazāk kā 3,5 m platu – autostāvvietu, ko izvieto maksimāli tuvu ieejai."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210.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 Velosipēdu novietnes izvieto tā, lai netiktu traucēta gājēju pārvietošanās pa ietvēm un gājēju ceļiem."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Papildināt ar 234.8.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"234.8. degradētās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Izteikt 235.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"235. Teritorijās, kas ieplānotas nacionālas un vietējas nozīmes infrastruktūras izbūvei un pārbūvei, var turpināt teritorijas plānojumā noteikto atļauto izmantošanu (izņemot jaunu dzīvojamo, publisku un ražošanas ēku būvniecību), ievērojot nosacījumu, ka būves var izmantot tikai līdz plānotā infrastruktūras objekta būvprojekta īstenošanas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Izteikt 239.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"239. Teritorijas izmantošanas veidus nosaka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Papildināt ar 246.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 Šajos noteikumos lietotais vides piekļūstamības termins atbilst būvniecības jomas normatīvajā regulējumā lietotajam vides pieejamības terminam."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24-TA-536</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24-TA-536</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noteikumu_(grozījumu)_projekts_24-TA-536.docx</dc:title>
</cp:coreProperties>
</file>

<file path=docProps/custom.xml><?xml version="1.0" encoding="utf-8"?>
<Properties xmlns="http://schemas.openxmlformats.org/officeDocument/2006/custom-properties" xmlns:vt="http://schemas.openxmlformats.org/officeDocument/2006/docPropsVTypes"/>
</file>