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jūnijā (prot. Nr. 30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Gunitu Kovaļevsku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civildienesta likuma 11. panta trešo daļu un 37. panta pirmo un trešo daļu labas pārvaldības nodrošināšanai valsts interesēs, kā arī ņemot vērā Gunitas Kovaļevskas atbilstību Valsts bērnu tiesību aizsardzības inspekcijas vadītāja amata aprakstā izvirzītajām prasībām, apstiprināt Valsts bērnu tiesību aizsardzības inspekcijas vadītāja vietnieces Gunitas Kovaļevskas kandidatūru pārcelšanai Valsts bērnu tiesību aizsardzības inspekcijas vadītāja amatā.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22-TA-1703</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22-TA-1703</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rīkojuma_projekts_22-TA-1703.docx</dc:title>
</cp:coreProperties>
</file>

<file path=docProps/custom.xml><?xml version="1.0" encoding="utf-8"?>
<Properties xmlns="http://schemas.openxmlformats.org/officeDocument/2006/custom-properties" xmlns:vt="http://schemas.openxmlformats.org/officeDocument/2006/docPropsVTypes"/>
</file>