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ierobežotām radiofrekvenču joslām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Elektronisko sakaru likuma 45.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radiofrekvenču spektra joslas, kuru efektīvas izmantošanas labad ir nepieciešams ierobežot radiofrekvenču spektra lietošanas tiesību piešķiršanu komercdarbībai elektronisko sakaru nozarē.</w:t>
      </w:r>
      <w:r w:rsidR="00000000" w:rsidRPr="00000000" w:rsidDel="00000000">
        <w:rPr>
          <w:rtl w:val="0"/>
        </w:rPr>
        <w:t xml:space="preserve">EndFragment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Radiofrekvenču spektra joslu lietošanas tiesību piešķiršana un izmantošana elektronisko sakaru nozarē tiek ierobežota šādās joslās: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450,0–457,5 MHz/460,0–467,5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703,0–733,0 MHz/738,0–788,0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791,0–821,0 MHz/832,0–862,0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880,0–890,0 MHz/925,0–935,0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890,0–915,0 MHz/935,0–960,0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1432,0–1472,0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1492,0–1512,0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1710,0–1785,0 MHz/1805,0–1880,0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1900,0–1920,0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1920,0–1980,0 MHz/2110,0–2170,0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2300,0–2370,0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2500,0–2690,0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3400,0–3600,0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3600,0–3800,0 MHz;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10,15–10,3 GHz/10,5–10,65 GHz;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24,773–25,445 GHz/25,781–26,453 GHz;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25,1-27,5 GHz;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28,0525–28,4445 GHz/29,0605–29,4525 GHz;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31,815–32,347 GHz/32,627-33,159 GHz;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40,5–43,5 GHz.</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2.16.apakšpunkts zaudē spēku 2024.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2.17. apakšpunkts stājas spēkā 2024.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spēku zaudējušiem Ministru kabineta 2010. gada 16. februāra noteikumus Nr. 143 “Noteikumi par radiofrekvenču spektra joslām, kuru efektīvas izmantošanas labad ir nepieciešams ierobežot radiofrekvenču spektra lietošanas tiesību piešķiršanu komercdarbībai elektronisko sakaru nozarē” (Latvijas Vēstnesis, 2010, 29. nr.; 2013, 31. nr.; 2016, 189. nr.; 2018, 251. nr.; 2019, 119. nr.; 2020, 137.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22-TA-2225</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22-TA-2225</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noteikumu_projekts_22-TA-2225.docx</dc:title>
</cp:coreProperties>
</file>

<file path=docProps/custom.xml><?xml version="1.0" encoding="utf-8"?>
<Properties xmlns="http://schemas.openxmlformats.org/officeDocument/2006/custom-properties" xmlns:vt="http://schemas.openxmlformats.org/officeDocument/2006/docPropsVTypes"/>
</file>