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2026. gada 3. februāra noteikumos Nr. 48 "Noteikumi par atbalstu projektiem rūpniecisko spēju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un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3. februāra noteikumos Nr. 48 "Noteikumi par atbalstu projektiem rūpniecisko spēju uzlabošanai" (Latvijas Vēstnesis, 2026, 26.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Pasākumam pieejamais un plānotais kopējais finansējums ir 70 000 000 </w:t>
      </w:r>
      <w:r w:rsidR="00000000" w:rsidRPr="00000000" w:rsidDel="00000000">
        <w:rPr>
          <w:i w:val="1"/>
          <w:rtl w:val="0"/>
        </w:rPr>
        <w:t xml:space="preserve">euro</w:t>
      </w:r>
      <w:r w:rsidR="00000000" w:rsidRPr="00000000" w:rsidDel="00000000">
        <w:rPr>
          <w:rtl w:val="0"/>
        </w:rPr>
        <w:t xml:space="preserve"> (tai skaitā 59 500 000 </w:t>
      </w:r>
      <w:r w:rsidR="00000000" w:rsidRPr="00000000" w:rsidDel="00000000">
        <w:rPr>
          <w:i w:val="1"/>
          <w:rtl w:val="0"/>
        </w:rPr>
        <w:t xml:space="preserve">euro</w:t>
      </w:r>
      <w:r w:rsidR="00000000" w:rsidRPr="00000000" w:rsidDel="00000000">
        <w:rPr>
          <w:rtl w:val="0"/>
        </w:rPr>
        <w:t xml:space="preserve"> Eiropas Reģionālās attīstības fonda finansējums un 10 500 000 </w:t>
      </w:r>
      <w:r w:rsidR="00000000" w:rsidRPr="00000000" w:rsidDel="00000000">
        <w:rPr>
          <w:i w:val="1"/>
          <w:rtl w:val="0"/>
        </w:rPr>
        <w:t xml:space="preserve">euro</w:t>
      </w:r>
      <w:r w:rsidR="00000000" w:rsidRPr="00000000" w:rsidDel="00000000">
        <w:rPr>
          <w:rtl w:val="0"/>
        </w:rPr>
        <w:t xml:space="preserve"> valsts budžeta finansējums). Eiropas Reģionālās attīstības fonda un valsts budžeta finansējums un pasākuma ietvaros līdz 2029. gada 31. decembrim sasniedzamie rādītāji par pasākuma otrās kārtas īstenošanu finanšu instrumentu veidā ir noteikti saskaņā ar normatīvo aktu, kas nosaka Eiropas Savienības kohēzijas politikas programmas 2021.–2027. gadam ietvaros izmantojamo finanšu instrumentu īstenošanas kārtību, pieejamo finansējumu, atbalstāmās darbības un attiecināmās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otrā un turpmākās projektu iesniegumu atlases kārtas atklātas projektu iesniegumu atlases veidā tiek organizētas par finansējumu, kas noteikts normatīvajā aktā, kas nosaka Eiropas Savienības kohēzijas politikas programmas 2021.–2027. gadam ietvaros izmantojamo finanšu instrumentu īstenošanas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publisko atbalstu (tai skaitā granti, finanšu instrumenti) papildinošās privātās investīcijas – 10 819 571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Aģentūra piešķir grantu 35 000 000 </w:t>
      </w:r>
      <w:r w:rsidR="00000000" w:rsidRPr="00000000" w:rsidDel="00000000">
        <w:rPr>
          <w:i w:val="1"/>
          <w:rtl w:val="0"/>
        </w:rPr>
        <w:t xml:space="preserve">euro</w:t>
      </w:r>
      <w:r w:rsidR="00000000" w:rsidRPr="00000000" w:rsidDel="00000000">
        <w:rPr>
          <w:rtl w:val="0"/>
        </w:rPr>
        <w:t xml:space="preserve"> apmērā saskaņā ar šo noteikumu 5.1. apakšpunktu, ko sedz no pasākumam pieejamā publiskā finansējuma. Grants tiek izmaksāts pēc pēcuzraudzības rādītāju sasniegšanas saskaņā ar šo noteikumu  23.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26-TA-826</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26-TA-826</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noteikumu_(grozījumu)_projekts_26-TA-826.docx</dc:title>
</cp:coreProperties>
</file>

<file path=docProps/custom.xml><?xml version="1.0" encoding="utf-8"?>
<Properties xmlns="http://schemas.openxmlformats.org/officeDocument/2006/custom-properties" xmlns:vt="http://schemas.openxmlformats.org/officeDocument/2006/docPropsVTypes"/>
</file>