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8. janvāra noteikumos Nr. 9 "Lauksaimniecības, zivsaimniecības un lauku attīstības garantiju programmas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ceturto daļu</w:t>
      </w:r>
      <w:r>
        <w:br/>
      </w:r>
      <w:r w:rsidR="00000000" w:rsidRPr="00000000" w:rsidDel="00000000">
        <w:rPr>
          <w:rStyle w:val="paragraph"/>
          <w:i w:val="1"/>
          <w:rtl w:val="0"/>
        </w:rPr>
        <w:t xml:space="preserve">un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8. janvāra noteikumos Nr. 9 "Lauksaimniecības, zivsaimniecības un lauku attīstības garantiju programmas noteikumi" (Latvijas Vēstnesis, 2019, 7., 166. nr.; 2021, 14., 124. nr.; 2022, 91.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sīkais (mikro), mazais un vidējais saimnieciskās darbības veicējs – saimnieciskās darbības veicējs, kas atbilst Komisijas 2022. gada 14. decembra Regula (ES) 2022/2472 , ar kuru,  piemērojot Līguma par Eiropas Savienības darbību 107. un 108. pantu, dažu kategoriju atbalstu lauksaimniecības un mežsaimniecības nozarē un lauku apvidos atzīst par saderīgu ar iekšējo tirgu (Dokuments attiecas iz EEZ) (Eiropas Savienības Oficiālais Vēstnesis, 2022. gada 21.decembra, Nr. L 327) (turpmāk – regula 2022/2472 ), 1. pielikumā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lielais saimnieciskās darbības veicējs – saimnieciskās darbības veicējs, kas atbilst regulas 2022/2472 2. panta 34.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lauku teritorijā – visā Latvijas teritorijā, izņemot valstspilsētas;".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Datums, kad pieņemts lēmums par garantijas piešķiršanu vai pagarināšanu, uzskatāms par atbalsta piešķiršanas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Latvijas Lauku attīstības programmas 2014.–2020. gadam īstenošanas pārejas periodā 2021. un 2022. gadā paredzētais finansējums 500 000 </w:t>
      </w:r>
      <w:r w:rsidR="00000000" w:rsidRPr="00000000" w:rsidDel="00000000">
        <w:rPr>
          <w:i w:val="1"/>
          <w:rtl w:val="0"/>
        </w:rPr>
        <w:t xml:space="preserve">euro</w:t>
      </w:r>
      <w:r w:rsidR="00000000" w:rsidRPr="00000000" w:rsidDel="00000000">
        <w:rPr>
          <w:rtl w:val="0"/>
        </w:rPr>
        <w:t xml:space="preserve"> apmērā apakšpasākumiem "Atbalsts ieguldījumiem lauku saimniecībās" un "Atbalsts ieguldījumiem pārstrādē"."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Garantiju izsniegšanas kārtību un pieteikšanās kārtību garantijām, kompensāciju izmaksu un zaudējumu samazināšanas pasākumus nosaka saskaņā ar civiltiesiskajiem līgumiem, kas noslēgti starp sabiedrību </w:t>
      </w:r>
      <w:r w:rsidR="00000000" w:rsidRPr="00000000" w:rsidDel="00000000">
        <w:rPr>
          <w:i w:val="1"/>
          <w:rtl w:val="0"/>
        </w:rPr>
        <w:t xml:space="preserve">Altum</w:t>
      </w:r>
      <w:r w:rsidR="00000000" w:rsidRPr="00000000" w:rsidDel="00000000">
        <w:rPr>
          <w:rtl w:val="0"/>
        </w:rPr>
        <w:t xml:space="preserve"> un kredītiestādi vai tās meitas sabiedrību, kura reģistrēta Latvijā un ir tiesīga sniegt finanšu pakalpojumus Latvijā, vai krājaizdevu sabiedrību."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Garantiju piešķir šādiem finanšu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 investīciju aizdevumam ieguldījumiem materiālos un nemateriālos aktīvos, finanšu līzingam un finanšu līzinga limitam;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 aizdevumam apgrozāmo līdzekļu finansēšanai, tai skaitā kredītlimita un overdrafta veidā, faktoringam, kurā klients (saimnieciskās darbības veicējs) saskaņā ar noslēgto faktoringa līgumu atbild faktoram (kredītiestāde vai tās meitas sabiedrība) par nodotā vai nododamā prasījuma drošību, kā arī banku garantijai (konkursa, avansa maksājuma, maksājuma izpildes vai laika garantijai), banku garantiju limitam, kredītvēstulei un galvinieka sniegtam galvojumam."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šo noteikumu 6.</w:t>
      </w:r>
      <w:r w:rsidR="00000000" w:rsidRPr="00000000" w:rsidDel="00000000">
        <w:rPr>
          <w:vertAlign w:val="superscript"/>
          <w:rtl w:val="0"/>
        </w:rPr>
        <w:t xml:space="preserve">1</w:t>
      </w:r>
      <w:r w:rsidR="00000000" w:rsidRPr="00000000" w:rsidDel="00000000">
        <w:rPr>
          <w:rtl w:val="0"/>
        </w:rPr>
        <w:t xml:space="preserve">1. apakšpunktu minētajiem finanšu pakalpojumiem primārās lauksaimniecības produktu ražošanai saskaņā ar regulas 2022/2472 14.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šo noteikumu 6.</w:t>
      </w:r>
      <w:r w:rsidR="00000000" w:rsidRPr="00000000" w:rsidDel="00000000">
        <w:rPr>
          <w:vertAlign w:val="superscript"/>
          <w:rtl w:val="0"/>
        </w:rPr>
        <w:t xml:space="preserve">1</w:t>
      </w:r>
      <w:r w:rsidR="00000000" w:rsidRPr="00000000" w:rsidDel="00000000">
        <w:rPr>
          <w:rtl w:val="0"/>
        </w:rPr>
        <w:t xml:space="preserve">1. apakšpunktu minētajiem finanšu pakalpojumiem, kas saistīti ar Līguma par Eiropas Savienības darbību I pielikumā minēto lauksaimniecības produktu pārstrādi saskaņā ar regulas 2022/2472 17.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šo noteikumu 6.</w:t>
      </w:r>
      <w:r w:rsidR="00000000" w:rsidRPr="00000000" w:rsidDel="00000000">
        <w:rPr>
          <w:vertAlign w:val="superscript"/>
          <w:rtl w:val="0"/>
        </w:rPr>
        <w:t xml:space="preserve">1</w:t>
      </w:r>
      <w:r w:rsidR="00000000" w:rsidRPr="00000000" w:rsidDel="00000000">
        <w:rPr>
          <w:rtl w:val="0"/>
        </w:rPr>
        <w:t xml:space="preserve">1. apakšpunktu minētajiem finanšu pakalpojumiem, izmantojot šo noteikumu 4.4. apakšpunktā minēto finansējumu: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7.3.1. primārās lauksaimniecības produktu ražošanai, ievērojot Eiropas Parlamenta un Padomes 2013. gada 17. decembra Regulas (ES) Nr. 1305/2013 par atbalstu lauku attīstībai no Eiropas Lauksaimniecības fonda lauku attīstībai (ELFLA) un ar ko atceļ Padomes Regulu (EK) Nr. 1698/2005 (Eiropas Savienības Oficiālais Vēstnesis, 2013. gada 20. decembris, Nr. L347) (turpmāk – regula Nr. 1305/2013), 17. pantu un 45. panta 7.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kas saistīti ar Līguma par Eiropas Savienības darbību I pielikumā minēto lauksaimniecības produktu pārstrādi, ievērojot regulas Nr. 1305/2013 17. pantu un 45. panta 7. punktu, un ieguldījumiem, kas saistīti ar Līguma par Eiropas Savienības darbību I pielikumā minēto lauksaimniecības produktu pārstrādi šajā pielikumā neminētajos lauksaimniecības produktos, ievērojot regulas Nr. 1407/2013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izmantojot šo noteikumu 4.4. apakšpunktā minēto finansējumu, šo noteikumu 6.</w:t>
      </w:r>
      <w:r w:rsidR="00000000" w:rsidRPr="00000000" w:rsidDel="00000000">
        <w:rPr>
          <w:vertAlign w:val="superscript"/>
          <w:rtl w:val="0"/>
        </w:rPr>
        <w:t xml:space="preserve">1</w:t>
      </w:r>
      <w:r w:rsidR="00000000" w:rsidRPr="00000000" w:rsidDel="00000000">
        <w:rPr>
          <w:rtl w:val="0"/>
        </w:rPr>
        <w:t xml:space="preserve">2. apakšpunktā minētajiem finanšu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7.4.1. kas saistīti ar primāro lauksaimniecības produktu ražošanu un lauksaimniecības produktu pārstrādi, kas Līguma par Eiropas Savienības darbību I pielikumā noteiktos lauksaimniecības produktus pārstrādā šajā pielikumā minētos lauksaimniecības produktos, saskaņā ar regulas Nr. 1305/2013 45. panta 5.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7.4.2. kas saistīti ar Līguma par Eiropas Savienības darbību I pielikumā noteikto lauksaimniecības produktu pārstrādi šajā pielikumā neminētos lauksaimniecības produktos saskaņā ar regulas Nr. 1305/2013 45. panta 5. punktu, ievērojot regulas Nr. 1407/2013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kā de minimis atbalstu šo noteikumu 6.</w:t>
      </w:r>
      <w:r w:rsidR="00000000" w:rsidRPr="00000000" w:rsidDel="00000000">
        <w:rPr>
          <w:vertAlign w:val="superscript"/>
          <w:rtl w:val="0"/>
        </w:rPr>
        <w:t xml:space="preserve">1</w:t>
      </w:r>
      <w:r w:rsidR="00000000" w:rsidRPr="00000000" w:rsidDel="00000000">
        <w:rPr>
          <w:rtl w:val="0"/>
        </w:rPr>
        <w:t xml:space="preserve"> punktā minēto finanšu pakalpojumu finansēšanai: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7.5.1. zvejas un akvakultūras atbalsta pasākumiem saskaņā ar Komisijas 2014. gada 27. jūnija Regulu (EK) Nr. 717/2014 par Līguma par Eiropas Savienības darbību 107. un 108. panta piemērošanu de minimis atbalstam zvejniecības un akvakultūras nozarē (Eiropas Savienības Oficiālais Vēstnesis, 2014. gada 28. jūnijs, Nr. L 190) (turpmāk – regula Nr. 717/2014);</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7.5.2. zivsaimniecības atbalsta pasākumiem, izņemot saimnieciskās darbības veicējus, uz kuriem attiecas Eiropas Parlamenta un Padomes 2013. gada 11. decembra Regula (ES) Nr. 1379/2013 par zvejas un akvakultūras produktu tirgu kopīgo organizāciju, un ar ko groza Padomes Regulas (EK) Nr. 1184/2006 un (EK) Nr. 1224/2009 un atceļ Padomes Regulu (EK) Nr. 104/2000 (Eiropas Savienības Oficiālais Vēstnesis, 2013. gada 28. decembris, Nr. L 354), saskaņā ar Komisijas regulu Nr. 1407/2013;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7.5.3. lauku teritoriju, lauksaimniecības un mežsaimniecības attīstībai saskaņā ar Komisijas 2013. gada 18. decembra Regulu (EK) Nr. 1408/2013 par Līguma par Eiropas Savienības darbību 107. un 108. panta piemērošanu de minimis atbalstam lauksaimniecības nozarē (Eiropas Savienības Oficiālais Vēstnesis, 2013. gada 24. decembris, Nr. L 352) (turpmāk – regula Nr. 1408/2013) un regulu Nr.  1407/2013.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7.5.4. galvinieka sniegtam galvojumam par saimnieciskās darbības veicēju, biedrībām vai nodibinājumiem, kas Lauku atbalsta dienestā pieteikušies atbalstam Kopējās lauksaimniecības politikas īstenošanas pasākumos vai saņēmuši avansa maksājumu atbilstoši Komisijas 2016. gada 18. maija Deleģētajai regulai (ES) 2016/1238, ar ko Eiropas Parlamenta un Padomes Regulu (ES) Nr. 1308/2013 papildina attiecībā uz valsts intervenci un privātās uzglabāšanas atbalstu (Eiropas Savienības Oficiālais Vēstnesis, 2016. gada 30. jūlijs, Nr. L 206), ievērojot regulas Nr.  1407/2013 vai regulas Nr. 1408/2013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7.6.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7.7.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7.8.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7.9.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7.10.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Atbalstu sniedz līdz regulas 2022/2472 63. panta 4. punktā un 64. pantā, regulas Nr. 1408/2013 7. panta 4. punktā un 8. pantā, regulas Nr. 1407/2013 7. panta 4. punktā un 8. pantā vai regulas Nr. 717/2014 7. panta 4. punktā un 8. pantā noteiktā termiņa beigām. Atbalstu saskaņā ar regulu Nr. 1305/2013 sniedz līdz 2025.gada 30.septembrim".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Garantiju piešķir, ja saimnieciskā darbība ir ekonomiski dzīvotspējīga, izvērtējot arī saimnieciskās darbības veicēja biznesa idejas potenciālu un ilgtspēju, projekta īstenošanai nepieciešamo līdzfinansējumu, nodrošinājumu struktūru un likviditāti, saimnieciskās darbības veicēja esošo un turpmāko finanšu situāciju, zināšanu un pieredzes atbilstību, kā arī analizējot identificētos uzņēmējdarbības riska faktorus un citus faktorus saimnieciskās darbības veicēja aizdevuma kvalitātes noteikšanai."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Garantiju saskaņā ar šo noteikumu 7.3.2., 7.4.2. un 7.5. apakšpunktu nepiešķir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ja saskaņā ar Valsts ieņēmumu dienesta administrēto nodokļu (nodevu) parādnieku datubāzē pieejamo informāciju ir nodokļu vai nodevu parāds, kas kopsummā pārsniedz 150 euro, izņemot nodokļu maksājumus, kuru segšanai ir piešķirts samaksas termiņa pagarinājums vai noslēgts vienošanās līgums. Nosacījumu pārbauda līdz garantijas izsniegšanai;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ja ierosināta tiesiskās aizsardzības procesa lieta, tiek īstenots tiesiskās aizsardzības process vai pasludināts maksātnespējas process vai kurš atbilst normatīvajos aktos noteiktajiem kritērijiem, lai tam pēc kreditora pieprasījuma piemērotu maksātnespējas procedūru. Nosacījumu, ka saimnieciskās darbības veicējam pēc kreditora pieprasījuma nav piemērota maksātnespējas procedūra, pārbauda, pamatojoties uz atbalsta pretendenta iesniegtu apliecinājumu;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saimnieciskās darbības veicējam,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9.3.1. garantijas saņēmēja kredītreitings ir zemāks par "B –" saskaņā ar šo noteikumu 2. pielikumā noteikto metodiku un saimnieciskā darbība nav dzīvotspējīga, izņemot gadījumu, ja tiek pagarināta garantija sīkajam (mikro), mazajam un vidējam saimnieciskās darbības veicējam atbilstoši regulas 2022/2472 1. pielikumā noteiktajai definīcijai.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9.3.2. ja garantijas tiek apvienotas ar atbalsta pasākumu, kam izsniegts riska kapitāla finansējums;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kurš atbilst regulas Nr. 1407/2013 3. panta 2. punkta otrajā rindkopā minētajam kravu komercpārvadājumu autotransporta uzņēmumam;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darbībām, kas saistītas ar eksportu uz trešajām valstīm vai dalībvalstīm, tas ir, atbalstam, kas tieši saistīts ar eksportētajiem daudzumiem, izplatīšanas tīklu izveidi un darbību, vai citām kārtējām izmaksām, kas saistītas ar eksporta darbību;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9.6. atbalstam, ko piešķir ar nosacījumu, ka importa preču vietā tiek izmantotas vietējās preces.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darbības veicējam, kas  ir reģistrēts valstī vai teritorijā, kas minēta normatīvajos aktos par zemu nodokļu vai beznodokļu valstīm vai teritorijām, pieder vairāk nekā 25 procenti kapitāldaļu."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Garantiju saskaņā ar regulu 2022/2472 nepiešķir: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šo noteikumu 9.1.,9.3.,  9.5., 9.6. un 9.7. apakšpunktā minētajam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lielajam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saimnieciskās darbības veicējam, uz kuru attiecas Eiropas Komisijas atgūšanas rīkojums atbilstoši regulas 2022/2472 1. panta 4. punkta "a"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ja saimnieciskās darbības veicējs atbilst regulas 2022/2472 2. panta 59. punktā minētajiem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atbalstam nav stimulējošas ietekmes atbilstoši regulas Nr. 2022/2472 6. panta 2. punktā noteiktajam;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regulas 2022/2472 14. panta 9. punktā vai 17. panta 9. punktā minētajām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Garantijas de minimis atbalsta veidā nepiešķir šādā darbībām un nozarēm, ņemot vērā attiecīgajās regulās noteikto atbalstāmo darbību un nozaru ierobežojumus: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regulas Nr.  1407/2013 1. panta 1. punkta "a" un "b" apakšpunktā minētajās nozarēs un 1. panta 1. punkta "c", "d" un "e" apakšpunktā minētajām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regulas Nr. 1408/2013 1. panta 1. punkta “a”, "b" un “c” apakšpunktos minētajām darbībām, ja garantiju piešķir saskaņā ar regulu Nr. 1408/2013;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regulas Nr.  717/2014 1. panta 1. punkta “a”, "b", "c", "d", "e", "f", "g", "h" "i", "j" un “k” apakšpunktos minētajām darbībām, ja garantiju piešķir saskaņā ar regulu Nr.  717/2014;".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13.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13.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Atbalstāmie saimnieciskās veicēji un garantijas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Garantijas sedz līdz 80 procentiem no finanšu pakalpojuma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Garantijas sākotnējais termiņš nepārsniedz 10 gadus, bet, ja tiek pagarināts sabiedrības Altum iepriekš izsniegtas garantijas termiņš, garantijas kopējais termiņš nepārsniedz 15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kredītiestāde pagarina iepriekš noslēgtu šo noteikumu 6.</w:t>
      </w:r>
      <w:r w:rsidR="00000000" w:rsidRPr="00000000" w:rsidDel="00000000">
        <w:rPr>
          <w:vertAlign w:val="superscript"/>
          <w:rtl w:val="0"/>
        </w:rPr>
        <w:t xml:space="preserve">1</w:t>
      </w:r>
      <w:r w:rsidR="00000000" w:rsidRPr="00000000" w:rsidDel="00000000">
        <w:rPr>
          <w:rtl w:val="0"/>
        </w:rPr>
        <w:t xml:space="preserve">2. apakšpunktā minēto finanšu pakalpojumu līgumu un sabiedrība </w:t>
      </w:r>
      <w:r w:rsidR="00000000" w:rsidRPr="00000000" w:rsidDel="00000000">
        <w:rPr>
          <w:i w:val="1"/>
          <w:rtl w:val="0"/>
        </w:rPr>
        <w:t xml:space="preserve">Altum</w:t>
      </w:r>
      <w:r w:rsidR="00000000" w:rsidRPr="00000000" w:rsidDel="00000000">
        <w:rPr>
          <w:rtl w:val="0"/>
        </w:rPr>
        <w:t xml:space="preserve"> garantiju piešķir tikai jaunām saistībām, kas rodas pēc finanšu pakalpojumu līguma grozījumiem;".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1 500 000 euro šo noteikumu 14.1., 14.2., 14.3. un 14.4. apakšpunktā minētajiem saimnieciskās darbības veicējiem;".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19.2.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3 500 000 </w:t>
      </w:r>
      <w:r w:rsidR="00000000" w:rsidRPr="00000000" w:rsidDel="00000000">
        <w:rPr>
          <w:i w:val="1"/>
          <w:rtl w:val="0"/>
        </w:rPr>
        <w:t xml:space="preserve">euro</w:t>
      </w:r>
      <w:r w:rsidR="00000000" w:rsidRPr="00000000" w:rsidDel="00000000">
        <w:rPr>
          <w:rtl w:val="0"/>
        </w:rPr>
        <w:t xml:space="preserve"> – atbilstīgai lauksaimniecības pakalpojumu kooperatīvajai sabiedrībai;".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19.3.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"19.3. 2 000 000 </w:t>
      </w:r>
      <w:r w:rsidR="00000000" w:rsidRPr="00000000" w:rsidDel="00000000">
        <w:rPr>
          <w:i w:val="1"/>
          <w:rtl w:val="0"/>
        </w:rPr>
        <w:t xml:space="preserve">euro</w:t>
      </w:r>
      <w:r w:rsidR="00000000" w:rsidRPr="00000000" w:rsidDel="00000000">
        <w:rPr>
          <w:rtl w:val="0"/>
        </w:rPr>
        <w:t xml:space="preserve"> – atbilstīgai mežsaimniecības pakalpojumu kooperatīvajai sabiedrībai."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Papildus šo noteikumu 19. punktā noteiktajiem limitiem, piešķirot garantiju lielajiem saimnieciskās darbības veicējiem kā de minimis atbalstu, ir jāievēro regulas Nr. 1407/2013 4. panta 6. punkta “b" apakšpunktā, regulas Nr. 1408/2013 4. panta 6. punkta “b" apakšpunktā un regulas Nr. 717/2014  4. panta 6. punkta “b" apakšpunktā noteiktie garantijas summu ierobežojumi."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Par garantijas piešķiršanu vai pagarināšanu šo noteikumu 6.</w:t>
      </w:r>
      <w:r w:rsidR="00000000" w:rsidRPr="00000000" w:rsidDel="00000000">
        <w:rPr>
          <w:vertAlign w:val="superscript"/>
          <w:rtl w:val="0"/>
        </w:rPr>
        <w:t xml:space="preserve">1</w:t>
      </w:r>
      <w:r w:rsidR="00000000" w:rsidRPr="00000000" w:rsidDel="00000000">
        <w:rPr>
          <w:rtl w:val="0"/>
        </w:rPr>
        <w:t xml:space="preserve">1 minēto finanšu pakalpojumu finansēšanai piemēro vienreizēju maksu no 0,25 līdz 0,85 procentiem no garantijas summas. Procentuālo maksas apmēru nosaka, bāzes procentu likmei – 0,25 procentiem – pieskaitot garantijas risku faktoru novērtējumu procentpunktos saskaņā ar šo noteikumu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Par garantiju piešķiršanu vai pagarināšanu šo noteikumu 6.</w:t>
      </w:r>
      <w:r w:rsidR="00000000" w:rsidRPr="00000000" w:rsidDel="00000000">
        <w:rPr>
          <w:vertAlign w:val="superscript"/>
          <w:rtl w:val="0"/>
        </w:rPr>
        <w:t xml:space="preserve">1</w:t>
      </w:r>
      <w:r w:rsidR="00000000" w:rsidRPr="00000000" w:rsidDel="00000000">
        <w:rPr>
          <w:rtl w:val="0"/>
        </w:rPr>
        <w:t xml:space="preserve">2 minēto finanšu pakalpojumu finansēšanai piemēro ikgadējo prēmiju. Garantijas prēmiju sabiedrība </w:t>
      </w:r>
      <w:r w:rsidR="00000000" w:rsidRPr="00000000" w:rsidDel="00000000">
        <w:rPr>
          <w:i w:val="1"/>
          <w:rtl w:val="0"/>
        </w:rPr>
        <w:t xml:space="preserve"> Altum</w:t>
      </w:r>
      <w:r w:rsidR="00000000" w:rsidRPr="00000000" w:rsidDel="00000000">
        <w:rPr>
          <w:rtl w:val="0"/>
        </w:rPr>
        <w:t xml:space="preserve"> nosaka, piemērojot gada prēmijas likmes atbilstoši saimnieciskās darbības veicēja kredīta kvalitātei un nodrošinājuma līmenim, kas noteikts saskaņā ar sabiedrības </w:t>
      </w:r>
      <w:r w:rsidR="00000000" w:rsidRPr="00000000" w:rsidDel="00000000">
        <w:rPr>
          <w:i w:val="1"/>
          <w:rtl w:val="0"/>
        </w:rPr>
        <w:t xml:space="preserve">Altum</w:t>
      </w:r>
      <w:r w:rsidR="00000000" w:rsidRPr="00000000" w:rsidDel="00000000">
        <w:rPr>
          <w:rtl w:val="0"/>
        </w:rPr>
        <w:t xml:space="preserve"> kredīta kvalitātes novērtēšanas sistēmu. Piemērojamās garantijas gada prēmijas likmes ir publicētas sabiedrības </w:t>
      </w:r>
      <w:r w:rsidR="00000000" w:rsidRPr="00000000" w:rsidDel="00000000">
        <w:rPr>
          <w:i w:val="1"/>
          <w:rtl w:val="0"/>
        </w:rPr>
        <w:t xml:space="preserve">Altum</w:t>
      </w:r>
      <w:r w:rsidR="00000000" w:rsidRPr="00000000" w:rsidDel="00000000">
        <w:rPr>
          <w:rtl w:val="0"/>
        </w:rPr>
        <w:t xml:space="preserve">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Ja sabiedrība Altum piešķir vai pagarina garantiju kā de minimis atbalstu, tad subsīdijas ekvivalentu šādai garantijai aprēķina: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saskaņā ar regulu Nr.  1407/2013, – atbilstoši regulas Nr.  1407/2013 4. panta 6. punkta "c" apakšpunktam, pamatojoties uz šo noteikumu 2. pielikumā noteiktajām drošās zonas prēmijas likmēm, vai, ja garantiju saskaņā ar šo regulu piešķir lielajam saimnieciskās darbības veicējam, – atbilstoši regulas Nr.  1407/2013 4. panta 6. punkta "b"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saskaņā ar regulu Nr. 1408/2013, – atbilstoši regulas Nr. 1408/2013 4. panta 6. punkta "c" apakšpunktam, pamatojoties uz šo noteikumu 2. pielikumā noteiktajām drošās zonas prēmijas likmēm, vai, ja garantiju saskaņā ar šo regulu piešķir lielajam saimnieciskās darbības veicējam, – atbilstoši regulas Nr. 1408/2013 4. panta 6. punkta "b"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saskaņā ar regulu Nr.  717/2014, – atbilstoši regulas Nr.  717/2014 4. panta 6. punkta "c" apakšpunktam, pamatojoties uz šo noteikumu 2. pielikumā noteiktajām drošās zonas prēmijas likmēm, vai, ja garantiju saskaņā ar šo regulu piešķir lielajam saimnieciskās darbības veicējam, – atbilstoši regulas Nr.  717/2014 4. panta 6. punkta "b" apakšpunktam;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Ja garantijas ilgums pārsniedz gadu, starpība starp likmēm tiek diskontēta, izmantojot atsauces likmi, kas aprēķināma saskaņā ar Eiropas Komisijas Latvijai apstiprināto atsauces likmi, kurai pieskaitīti 100 bāzes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Piešķirot garantiju saskaņā ar regulu Nr. 2022/2472 vai regulu Nr. 1305/2013, piešķirtā atbalsta intensitāte tiek noteikta, garantijai aprēķināto subsīdijas ekvivalentu dalot ar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 šo noteikumu 7.1. apakšpunktā minētajām garantijām attiecināmās izmaksas ir noteiktas regulas Nr. 2022/2472 14. panta 6. punktā, savukārt šīs regulas 11., 12., 13., 14. un 15. punktā ir noteiktas maksimālās atbalsta intensitātes, kā arī nedrīkst pārsniegt šīs regulas 4. panta 1. punkta “a” apakšpunktā minēto subsīdijas ekvivalenta robežvērtību;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2. šo noteikumu 7.2. apakšpunktā minētajām garantijām attiecināmās izmaksas ir noteiktas regulas Nr. 2022/2472 17. panta 5. punktā, savukārt šīs regulas 11. un 12. punktā ir noteiktas maksimālās atbalsta intensitātes, kā arī nedrīkst pārsniegt šīs regulas 4. panta 1. punkta “c” apakšpunktā minēto subsīdijas ekvivalenta robežvērtību;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 piešķirot garantiju saskaņā ar regulas Nr. 1305/2013 17. pantu, ir jāņem vērā šī panta 1. punktā noteiktās attiecināmās izmaksas, šī panta 3. un 4. punktā noteiktās maksimālās atbalsta intensitātes, kā arī šīs regulas 45. panta 7. punkta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4. šo noteiktumu 7.4.1. un 7.4.2. minētajām garantijām ir jāņem vērā regulas Nr. 1305/2013 45. panta 5. punktā noteiktais apgrozāmo līdzekļu attiecināmo izmaksu ierobežojums."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Ja garantiju piešķir saskaņā ar regulu Nr. 2022/2472 vai arī tikai ar regulu Nr. 1305/2013, subsīdijas ekvivalentu aprēķina kā starpību starp atbilstošās kredīta kvalitātes klases gada drošās zonas prēmijas likmi - 2. pielikums, un piemēroto gada prēmijas likmi naudas izteiksmē. Ja garantijas ilgums pārsniedz gadu un ir jāpiemēro šo noteikumu 20. punktā minētā vienreizējā maksa, atbilstoši garantijas termiņam tā tiek konvertēta uz gada prēmijas likmi, un starpība starp likmēm tiek diskontēta, izmantojot atsauces likmi, kas aprēķināma saskaņā ar Eiropas Komisijas Latvijai apstiprināto atsauces likmi, kurai pieskaitīti 100 bāzes punkti".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Atbalsta uzskaite un kumulācija".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Piešķirot garantiju, vienam vienotam uzņēmumam sniegtā </w:t>
      </w:r>
      <w:r w:rsidR="00000000" w:rsidRPr="00000000" w:rsidDel="00000000">
        <w:rPr>
          <w:i w:val="1"/>
          <w:rtl w:val="0"/>
        </w:rPr>
        <w:t xml:space="preserve">de minimis</w:t>
      </w:r>
      <w:r w:rsidR="00000000" w:rsidRPr="00000000" w:rsidDel="00000000">
        <w:rPr>
          <w:rtl w:val="0"/>
        </w:rPr>
        <w:t xml:space="preserve"> atbalsta kopējā summa, ņemot vērā iepriekš piešķirto atbalstu pēdējo triju fiskālo gadu periodā, nedrīkst pārsniegt: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regulas Nr. 1407/2013 3. panta 2. punktā noteikto atbalsta maksimālo apjomu, ja garantiju piešķir saskaņā ar regulu Nr. 1407/2013;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regulas Nr. 1408/2013 3. panta 3.a punktā noteikto atbalsta maksimālo apjomu, ja garantiju piešķir saskaņā ar regulu Nr. 1408/2013;</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regulas Nr. 717/2014 3. panta 2. punktā noteikto atbalsta maksimālo apjomu, ja garantiju piešķir saskaņā ar regulu Nr. 717/2014."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Pirms garantijas piešķiršanas saimnieciskās darbības veicējs finanšu institūcijā iesniedz informāciju par iepriekš saņemto </w:t>
      </w:r>
      <w:r w:rsidR="00000000" w:rsidRPr="00000000" w:rsidDel="00000000">
        <w:rPr>
          <w:i w:val="1"/>
          <w:rtl w:val="0"/>
        </w:rPr>
        <w:t xml:space="preserve">de minimis</w:t>
      </w:r>
      <w:r w:rsidR="00000000" w:rsidRPr="00000000" w:rsidDel="00000000">
        <w:rPr>
          <w:rtl w:val="0"/>
        </w:rPr>
        <w:t xml:space="preserve"> atbalstu, norādot ziņas par kārtējo un diviem iepriekšējiem fiskālajiem gadiem, saskaņā ar  normatīvajiem aktiem par de minimis atbalsta uzskaites un piešķiršanas kārtību un de minimis atbalsta uzskaites veidlapu paraugiem vai norāda de minimis atbalsta uzskaites sistēmā izveidotās un apstiprinātās veidlapas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Saskaņā ar regulas Nr.  1407/2013 5. pantu, regulas Nr. 1408/2013 5. pantu, kā arī regulas Nr.  717/2014 5. panta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drīkst kumulēt ar citu de minimis atbalstu līdz regulas Nr.  1407/2013 3. panta 2. punktā, regulas Nr. 1408/2013 3. panta 3.a punktā un regulas Nr.  717/2014 3. panta 2. punktā noteiktajam robežlielumam, ja netiek pārsniegta šajās regulās noteiktā maksimālā atbalsta summa vai maksimālā atbalsta intensitāte attiecīgajai izmaksu pozīcijai nepārsniedz 100 procentu;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drīkst kumulēt ar citu valsts atbalstu attiecībā uz vienām un tām pašām attiecināmajām izmaksām vai citu valsts atbalstu tam pašam riska finansējuma pasākumam, ja netiek pārsniegta attiecīgā maksimālā atbalsta intensitāte vai atbalsta summa, kāda noteikta citā valsts atbalsta programmā vai Eiropas Komisijas lēmumā;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ja saimnieciskās darbības veicējs darbojas regulas Nr. 1408/2013 1. pantā vai regulas Nr. 717/2014 1. pantā noteiktajās nozarēs, kā arī citās nozarēs vai veic darbības, kas ietilpst regulas Nr. 1407/2013 darbības jomā, </w:t>
      </w:r>
      <w:r w:rsidR="00000000" w:rsidRPr="00000000" w:rsidDel="00000000">
        <w:rPr>
          <w:i w:val="1"/>
          <w:rtl w:val="0"/>
        </w:rPr>
        <w:t xml:space="preserve">de minimis</w:t>
      </w:r>
      <w:r w:rsidR="00000000" w:rsidRPr="00000000" w:rsidDel="00000000">
        <w:rPr>
          <w:rtl w:val="0"/>
        </w:rPr>
        <w:t xml:space="preserve"> atbalstu, ko piešķir saskaņā ar regulu Nr. 1408/2013 vai regulu Nr. 717/2014 drīkst kumulēt ar </w:t>
      </w:r>
      <w:r w:rsidR="00000000" w:rsidRPr="00000000" w:rsidDel="00000000">
        <w:rPr>
          <w:i w:val="1"/>
          <w:rtl w:val="0"/>
        </w:rPr>
        <w:t xml:space="preserve">de minimis </w:t>
      </w:r>
      <w:r w:rsidR="00000000" w:rsidRPr="00000000" w:rsidDel="00000000">
        <w:rPr>
          <w:rtl w:val="0"/>
        </w:rPr>
        <w:t xml:space="preserve">atbalstu, ko piešķir saskaņā ar regulu Nr. 1407/2013, nepārsniedzot tās 3. panta 2. punktā noteikto robežlielumu, ar nosacījumu, ka ar attiecīgo darbību vai izmaksu nošķiršanu, tiek nodrošināts, ka darbības regulu Nr. 1408/2013 vai 717/2014 nozarēs negūst labumu no </w:t>
      </w:r>
      <w:r w:rsidR="00000000" w:rsidRPr="00000000" w:rsidDel="00000000">
        <w:rPr>
          <w:i w:val="1"/>
          <w:rtl w:val="0"/>
        </w:rPr>
        <w:t xml:space="preserve">de minimis</w:t>
      </w:r>
      <w:r w:rsidR="00000000" w:rsidRPr="00000000" w:rsidDel="00000000">
        <w:rPr>
          <w:rtl w:val="0"/>
        </w:rPr>
        <w:t xml:space="preserve"> atbalsta, ko piešķir saskaņā ar regulu Nr. 1407/2013."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2</w:t>
      </w:r>
      <w:r w:rsidR="00000000" w:rsidRPr="00000000" w:rsidDel="00000000">
        <w:rPr>
          <w:rtl w:val="0"/>
        </w:rPr>
        <w:t xml:space="preserve"> Garantiju atbalstu šo noteikumu 7.3. apakšpunktā  un 7.4. apakšpunktu minētajiem pasākumiem drīkst kumulēt ar citu atbalstu par vienām un tām pašām attiecināmajām izmaksām, ja netiek pārsniegta maksimālā atbalsta intensitāte atbilstoši regulas Nr.  1305/2013 17. panta 3. un 4. punktam, kā arī ievēroti Regulas 1303/2013 37.panta 9.punkta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26.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Garantiju atbalstu šo noteikumu 7.1. un 7.2. apakšpunktā minētajiem pasākumiem drīkst kumulēt ar citu atbalstu par vienām un tām pašām izmaksām atbilstoši regulas Nr. 2472/2022 8. panta 1., 3., un 5. punktam, kā arī ievērojot šo noteikumu 22.</w:t>
      </w:r>
      <w:r w:rsidR="00000000" w:rsidRPr="00000000" w:rsidDel="00000000">
        <w:rPr>
          <w:vertAlign w:val="superscript"/>
          <w:rtl w:val="0"/>
        </w:rPr>
        <w:t xml:space="preserve">1</w:t>
      </w:r>
      <w:r w:rsidR="00000000" w:rsidRPr="00000000" w:rsidDel="00000000">
        <w:rPr>
          <w:rtl w:val="0"/>
        </w:rPr>
        <w:t xml:space="preserve">1 un 22.</w:t>
      </w:r>
      <w:r w:rsidR="00000000" w:rsidRPr="00000000" w:rsidDel="00000000">
        <w:rPr>
          <w:vertAlign w:val="superscript"/>
          <w:rtl w:val="0"/>
        </w:rPr>
        <w:t xml:space="preserve">1</w:t>
      </w:r>
      <w:r w:rsidR="00000000" w:rsidRPr="00000000" w:rsidDel="00000000">
        <w:rPr>
          <w:rtl w:val="0"/>
        </w:rPr>
        <w:t xml:space="preserve">2 apakšpunktos noteiktās atbalsta intensitātes."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4</w:t>
      </w:r>
      <w:r w:rsidR="00000000" w:rsidRPr="00000000" w:rsidDel="00000000">
        <w:rPr>
          <w:rtl w:val="0"/>
        </w:rPr>
        <w:t xml:space="preserve"> Ja garantiju piešķir projektam, kam piešķirts atbalsts saskaņā ar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Padomes regulas 2021/2115), tad maksimālā atbalsta intensitāte nepārsniedz Padomes regulas 2021/2115 73. panta 4. punktā un regulas Nr. 1305/2013 17. panta  3. un 4. punktā un noteiktās maksimālās atbalsta intensitātes, kā arī regulas Nr. 1305/2013 45. panta 7. punktā noteiktos nosacījumus vai regulas 2022/2472 14. panta 11., 12., 13.,  14. un 15. punktā noteiktās maksimālās atbalsta intensitātes vai regulas 2022/2472 17. panta 11. un 12. punktā noteiktās maksimālās atbalsta intensitātes."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garantijas piešķirtas saskaņā ar regulu Nr.  1407/2013, regulu Nr. 1408/2013 vai regulu Nr.  717/2014,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atbalsta saņēmējs datus par individuālo piešķirto </w:t>
      </w:r>
      <w:r w:rsidR="00000000" w:rsidRPr="00000000" w:rsidDel="00000000">
        <w:rPr>
          <w:i w:val="1"/>
          <w:rtl w:val="0"/>
        </w:rPr>
        <w:t xml:space="preserve">de minimis </w:t>
      </w:r>
      <w:r w:rsidR="00000000" w:rsidRPr="00000000" w:rsidDel="00000000">
        <w:rPr>
          <w:rtl w:val="0"/>
        </w:rPr>
        <w:t xml:space="preserve">atbalstu glabā 10 fiskālos gadus, sākot no šā atbalsta piešķiršanas dienas, savukārt sabiedrība </w:t>
      </w:r>
      <w:r w:rsidR="00000000" w:rsidRPr="00000000" w:rsidDel="00000000">
        <w:rPr>
          <w:i w:val="1"/>
          <w:rtl w:val="0"/>
        </w:rPr>
        <w:t xml:space="preserve">Altum</w:t>
      </w:r>
      <w:r w:rsidR="00000000" w:rsidRPr="00000000" w:rsidDel="00000000">
        <w:rPr>
          <w:rtl w:val="0"/>
        </w:rPr>
        <w:t xml:space="preserve"> datus par </w:t>
      </w:r>
      <w:r w:rsidR="00000000" w:rsidRPr="00000000" w:rsidDel="00000000">
        <w:rPr>
          <w:i w:val="1"/>
          <w:rtl w:val="0"/>
        </w:rPr>
        <w:t xml:space="preserve">de minimis</w:t>
      </w:r>
      <w:r w:rsidR="00000000" w:rsidRPr="00000000" w:rsidDel="00000000">
        <w:rPr>
          <w:rtl w:val="0"/>
        </w:rPr>
        <w:t xml:space="preserve"> atbalsta shēmu glabā 10 fiskālos gadus, sākot no dienas, kurā saskaņā ar šo programmu piešķirts pēdējais individuālais atbalsts. Ja garantijas piešķirtas saskaņā ar regulu Nr. 2022/2472 vai tikai ar regulu 1305/2013, datus par individuāli piešķirto atbalstu glabā 10 fiskālos gadus, sākot no šā atbalsta piešķiršanas dienas, savukārt sabiedrība </w:t>
      </w:r>
      <w:r w:rsidR="00000000" w:rsidRPr="00000000" w:rsidDel="00000000">
        <w:rPr>
          <w:i w:val="1"/>
          <w:rtl w:val="0"/>
        </w:rPr>
        <w:t xml:space="preserve">Altum</w:t>
      </w:r>
      <w:r w:rsidR="00000000" w:rsidRPr="00000000" w:rsidDel="00000000">
        <w:rPr>
          <w:rtl w:val="0"/>
        </w:rPr>
        <w:t xml:space="preserve"> datus par piešķirto atbalstu glabā 10 fiskālos gadus, sākot no dienas, kurā saskaņā ar šo programmu piešķirts pēdējais individuālais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Par garantiju, kas izsniegta saskaņā ar regulu 2472/2022, sabiedrība </w:t>
      </w:r>
      <w:r w:rsidR="00000000" w:rsidRPr="00000000" w:rsidDel="00000000">
        <w:rPr>
          <w:i w:val="1"/>
          <w:rtl w:val="0"/>
        </w:rPr>
        <w:t xml:space="preserve">Altum</w:t>
      </w:r>
      <w:r w:rsidR="00000000" w:rsidRPr="00000000" w:rsidDel="00000000">
        <w:rPr>
          <w:rtl w:val="0"/>
        </w:rPr>
        <w:t xml:space="preserve"> nodrošina informācijas publicēšanu atbilstoši regulas 2472/2022 9.panta 1.punkta “c” apakšpunktu un 3.punktu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Ja pārkāptas regulas Nr.  2472/2022, regulas Nr. 1407/2013, regulas Nr. 1408/2013 vai regulas Nr. 717/2014 prasības, sabiedrība </w:t>
      </w:r>
      <w:r w:rsidR="00000000" w:rsidRPr="00000000" w:rsidDel="00000000">
        <w:rPr>
          <w:i w:val="1"/>
          <w:rtl w:val="0"/>
        </w:rPr>
        <w:t xml:space="preserve">Altum</w:t>
      </w:r>
      <w:r w:rsidR="00000000" w:rsidRPr="00000000" w:rsidDel="00000000">
        <w:rPr>
          <w:rtl w:val="0"/>
        </w:rPr>
        <w:t xml:space="preserve"> uzliek atbalsta saņēmējam pienākumu atmaksāt sabiedrībai </w:t>
      </w:r>
      <w:r w:rsidR="00000000" w:rsidRPr="00000000" w:rsidDel="00000000">
        <w:rPr>
          <w:i w:val="1"/>
          <w:rtl w:val="0"/>
        </w:rPr>
        <w:t xml:space="preserve">Altum</w:t>
      </w:r>
      <w:r w:rsidR="00000000" w:rsidRPr="00000000" w:rsidDel="00000000">
        <w:rPr>
          <w:rtl w:val="0"/>
        </w:rPr>
        <w:t xml:space="preserve"> visu atbalsta pasākuma ietvaros saņemto valsts atbalstu. Atbalstu atmaksā kopā ar procentiem no līdzekļiem, kas ir brīvi no valsts atbalsta, saskaņā ar Komercdarbības atbalsta kontroles likuma V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32.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Sabiedrība </w:t>
      </w:r>
      <w:r w:rsidR="00000000" w:rsidRPr="00000000" w:rsidDel="00000000">
        <w:rPr>
          <w:i w:val="1"/>
          <w:rtl w:val="0"/>
        </w:rPr>
        <w:t xml:space="preserve">Altum</w:t>
      </w:r>
      <w:r w:rsidR="00000000" w:rsidRPr="00000000" w:rsidDel="00000000">
        <w:rPr>
          <w:rtl w:val="0"/>
        </w:rPr>
        <w:t xml:space="preserve"> šo noteikumu 7. punktā minēto garantiju piešķiršanai ir tiesīga bez maksas saņemt informāciju no Lauku atbalsta dienesta un Lauksaimniecības datu centra."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2. pielikuma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"Gada drošās zonas prēmijas likmes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23-TA-1978</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23-TA-1978</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noteikumu_(grozījumu)_projekts_23-TA-1978.docx</dc:title>
</cp:coreProperties>
</file>

<file path=docProps/custom.xml><?xml version="1.0" encoding="utf-8"?>
<Properties xmlns="http://schemas.openxmlformats.org/officeDocument/2006/custom-properties" xmlns:vt="http://schemas.openxmlformats.org/officeDocument/2006/docPropsVTypes"/>
</file>