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uz Finanšu ministrijas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granta iemaksa Eiropas Investīciju bankas “ES Trasta fondā Ukrainas atbalstam” atbalstam Ukrainas ekonomikas atveseļošanai, rekonstrukcijai un noturībai ārkārtas finanšu spiediena apstākļos ir uzskatāma par vienreizējo pasākumu likuma “Par valsts budžetu 2023. gadam un budžeta ietvaru 2023., 2024. un 2025. gadam” 5.panta 5.punkta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23-TA-1619</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mk_sēdes_protokollēmuma_projekts_23-TA-1619.docx</dc:title>
</cp:coreProperties>
</file>

<file path=docProps/custom.xml><?xml version="1.0" encoding="utf-8"?>
<Properties xmlns="http://schemas.openxmlformats.org/officeDocument/2006/custom-properties" xmlns:vt="http://schemas.openxmlformats.org/officeDocument/2006/docPropsVTypes"/>
</file>