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60.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Veselības aprūpes finansēšanas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otro un trešo daļu, 6. panta otrās daļas 7. un 14. punktu </w:t>
      </w:r>
      <w:r>
        <w:br/>
      </w:r>
      <w:r w:rsidR="00000000" w:rsidRPr="00000000" w:rsidDel="00000000">
        <w:rPr>
          <w:rStyle w:val="paragraph"/>
          <w:i w:val="1"/>
          <w:rtl w:val="0"/>
        </w:rPr>
        <w:t xml:space="preserve">un ceturto daļu, 7. pantu, 8. panta otro daļu </w:t>
      </w:r>
      <w:r>
        <w:br/>
      </w:r>
      <w:r w:rsidR="00000000" w:rsidRPr="00000000" w:rsidDel="00000000">
        <w:rPr>
          <w:rStyle w:val="paragraph"/>
          <w:i w:val="1"/>
          <w:rtl w:val="0"/>
        </w:rPr>
        <w:t xml:space="preserve">un 10. panta trešo daļu, </w:t>
      </w:r>
      <w:r>
        <w:br/>
      </w:r>
      <w:r w:rsidR="00000000" w:rsidRPr="00000000" w:rsidDel="00000000">
        <w:rPr>
          <w:rStyle w:val="paragraph"/>
          <w:i w:val="1"/>
          <w:rtl w:val="0"/>
        </w:rPr>
        <w:t xml:space="preserve">Ārstniecības likuma</w:t>
      </w:r>
      <w:r w:rsidR="00000000" w:rsidRPr="00000000" w:rsidDel="00000000">
        <w:rPr>
          <w:rStyle w:val="paragraph"/>
          <w:i w:val="1"/>
          <w:rtl w:val="0"/>
        </w:rPr>
        <w:t xml:space="preserve"> 3. panta otro daļu un 9. panta piekto daļu,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11. panta 2. punktu </w:t>
      </w:r>
      <w:r>
        <w:br/>
      </w:r>
      <w:r w:rsidR="00000000" w:rsidRPr="00000000" w:rsidDel="00000000">
        <w:rPr>
          <w:rStyle w:val="paragraph"/>
          <w:i w:val="1"/>
          <w:rtl w:val="0"/>
        </w:rPr>
        <w:t xml:space="preserve">un </w:t>
      </w:r>
      <w:r w:rsidR="00000000" w:rsidRPr="00000000" w:rsidDel="00000000">
        <w:rPr>
          <w:rStyle w:val="paragraph"/>
          <w:i w:val="1"/>
          <w:rtl w:val="0"/>
        </w:rPr>
        <w:t xml:space="preserve">Černobiļas atomelektrostacijas avārijas seku</w:t>
      </w:r>
      <w:r w:rsidR="00000000" w:rsidRPr="00000000" w:rsidDel="00000000">
        <w:rPr>
          <w:rStyle w:val="paragraph"/>
          <w:i w:val="1"/>
          <w:rtl w:val="0"/>
        </w:rPr>
        <w:t xml:space="preserve"> </w:t>
      </w:r>
      <w:r>
        <w:br/>
      </w:r>
      <w:r w:rsidR="00000000" w:rsidRPr="00000000" w:rsidDel="00000000">
        <w:rPr>
          <w:rStyle w:val="paragraph"/>
          <w:i w:val="1"/>
          <w:rtl w:val="0"/>
        </w:rPr>
        <w:t xml:space="preserve">likvidēšanas dalībnieku un Černobiļas atomelektrostacijas</w:t>
      </w:r>
      <w:r w:rsidR="00000000" w:rsidRPr="00000000" w:rsidDel="00000000">
        <w:rPr>
          <w:rStyle w:val="paragraph"/>
          <w:i w:val="1"/>
          <w:rtl w:val="0"/>
        </w:rPr>
        <w:t xml:space="preserve"> </w:t>
      </w:r>
      <w:r>
        <w:br/>
      </w:r>
      <w:r w:rsidR="00000000" w:rsidRPr="00000000" w:rsidDel="00000000">
        <w:rPr>
          <w:rStyle w:val="paragraph"/>
          <w:i w:val="1"/>
          <w:rtl w:val="0"/>
        </w:rPr>
        <w:t xml:space="preserve">avārijas rezultātā cietušo personu sociālās aizsardzības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14.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28. augusta noteikumos Nr. 555 "Veselības aprūpes pakalpojumu organizēšanas un samaksas kārtība" (Latvijas Vēstnesis, 2018, 176., 251. nr.; 2019, 63., 96., 254. nr.; 2020, 110B., 134A., 248. nr.; 2021, 83., 105., 123A., 189., 195A., 214., 252A. nr.; 2022, 24., 106., 137., 224. nr.; 2023, 13., 26., 65., 71., 90., 175., 247. nr.; 2024, 13., 85A., 100., 119., 173., 227., 232.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 Līdz 2025. gada 31. decembrim dienests stacionārajām ārstniecības iestādēm, kuras sniedz veselības aprūpes pakalpojumus Ukrainas civiliedzīvotājiem Krievijas Federācijas izraisītā bruņotā konflikta dēļ, stacionāro veselības aprūpes pakalpojumu nodrošināšanai samaksu līgumā ar dienestu noteiktajā kārtībā veic atbilstoši faktiskajām izmaksām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273.1. pacientu medicīnisko transportēšanu no ārstniecības iestādes Ukrainā uz stacionāro ārstniecības iestādi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273.2. pacientu nogādāšanu no stacionārās ārstniecības iestādes uz citu stacionāro ārstniecības iestādi.";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Dienests ir tiesīgs slēgt līgumu ar sabiedrību ar ierobežotu atbildību "Sanare-KRC Jaunķemeri" un sabiedrību ar ierobežotu atbildību "Rehabilitācijas centrs "Līgatne"" par stacionārās medicīniskās rehabilitācijas pakalpojumu sniegšanu šo noteikumu 273.1. apakšpunktā minētajiem pacientiem līdz 2025. gada 31. decembrim, samaksu veicot atbilstoši šo noteikumu 6. pielikuma 2.20.1., 2.20.2. vai 2.20.4. apakšpunktā noteiktajiem viena pacienta ārstēšanas tarifiem."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izpildītāja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24-TA-2972</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24-TA-2972</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noteikumu_(grozījumu)_projekts_24-TA-2972.docx</dc:title>
</cp:coreProperties>
</file>

<file path=docProps/custom.xml><?xml version="1.0" encoding="utf-8"?>
<Properties xmlns="http://schemas.openxmlformats.org/officeDocument/2006/custom-properties" xmlns:vt="http://schemas.openxmlformats.org/officeDocument/2006/docPropsVTypes"/>
</file>