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 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 (Latvijas Vēstnesis, 2024,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Aktivitātes "Pārtikas īso piegāžu ķēžu darbības veicināšana" mērķis ir attīstīt īsās pārtikas piegādes ķēdes, tā veicinot vietējās produkcijas ilgtspējīgu patēriņu un kopīga piedāvājuma veidošanu vietējā tirgū, jo īpaši publiskās ēdināšanas pakalpojumu sniegšanai, piemēram, izglītības, sociālās aprūpes vai ārstniecības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Atbalsta pretendents ir sadarbības grupa, kurā efektīvi sadarbojas lauksaimnieki, lauksaimniecības produktu pārstrādātāji, kooperatīvās sabiedrības, pašvaldības, ēdināšanas pakalpojumu sniedzēji, konsultanti, vietējās rīcības grupas vai citas ieinteresētās personas. Dalībnieku izvēle ir pamatota ar projekta darbībām un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Pašvaldības un ēdināšanas pakalpojumu sniedzēji, kuru dalība sadarbības grupā ir pamatota ar projekta darbībām un mērķiem, var iesaistīties projekta īstenošanā kā sadarbības partneri, lai organizētu un veicinātu sadarbību, bet atbalstu projekta ietvaros nesaņem."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"17.1.3. kopīgai lietošanai paredzētu jaunu pamatlīdzekļu un uzglabāšanai vai loģistikai paredzēta programmnodrošinājuma iegādes izmaksas, tai skaitā par jaunu vai mazlietotu specializēto transportlīdzekli, ja tas nav vecāks par 3 gadiem (transportlīdzekļa vecumam jābūt pierādāmam), pārtikas pārvadāšanai un lauksaimniecības produktu pirmapstrādes, pārstrādes un pakošanas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"17.1.5. trešo personu sniegto ārējo pakalpojumu izmaksas, ja attiecīgie pakalpojumi tiek izmantoti tikai projekta mērķu sasniegšanai, tai skaitā ārējo pakalpojumu izmaksas, kas saistītas ar informācijas tehnoloģijas pakalpojumiem tikai esošo datubāzu vai tīmekļvietņu būtiskai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Īstenojot projektu, atbalsta saņēmējs ir izveidojis īso pārtikas piegādes ķēdi, nodrošinot sadarbības grupā iesaistīto partneru saražoto produktu kopīgu realizāciju vismaz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noslēgts ilgtermiņa līgums par produkcijas piegādi ēdināšanas nodrošināšanai publiskajās iestādēs, piemēram, izglītības, sociālās aprūpes vai ārstniecības iestādēs;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noslēgts ilgtermiņa līgums par produkcijas piegādi sabiedriskās ēdināšanas pakalpojumu 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kopīga produktu realizācija mazumtirdzniecībā."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Biedrības un nodibinājumi, konsultanti, vietējās rīcības grupas vai citas ieinteresētās personas, kas nav mazie ekonomikas dalībnieki, bet to dalība sadarbības grupā ir pamatota ar projekta darbībām un mērķiem, var iesaistīties projekta īstenošanā kā sadarbības partneri, lai organizētu un veicinātu sadarbību, bet tiešā labuma guvēji no projekta īstenošanas ir šo noteikumu 2.9. apakšpunktā minētās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"27.1.3. trešo personu sniegto ārējo pakalpojumu izmaksas, ja attiecīgie pakalpojumi tiek izmantoti tikai projekta mērķu sasniegšanai, tai skaitā ārējo pakalpojumu izmaksas, kas saistītas ar informācijas tehnoloģijas pakalpojumiem tikai esošo datubāzu vai tīmekļvietņu būtiskai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37.10.</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"37.10.</w:t>
      </w:r>
      <w:r w:rsidR="00000000" w:rsidRPr="00000000" w:rsidDel="00000000">
        <w:rPr>
          <w:vertAlign w:val="superscript"/>
          <w:rtl w:val="0"/>
        </w:rPr>
        <w:t xml:space="preserve">1</w:t>
      </w:r>
      <w:r w:rsidR="00000000" w:rsidRPr="00000000" w:rsidDel="00000000">
        <w:rPr>
          <w:rtl w:val="0"/>
        </w:rPr>
        <w:t xml:space="preserve"> izmaksas, kas saistītas ar pakalpojumu sniegšanu starp viena projekta sadarbības grupas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37.10.</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"37.10.</w:t>
      </w:r>
      <w:r w:rsidR="00000000" w:rsidRPr="00000000" w:rsidDel="00000000">
        <w:rPr>
          <w:vertAlign w:val="superscript"/>
          <w:rtl w:val="0"/>
        </w:rPr>
        <w:t xml:space="preserve">2</w:t>
      </w:r>
      <w:r w:rsidR="00000000" w:rsidRPr="00000000" w:rsidDel="00000000">
        <w:rPr>
          <w:rtl w:val="0"/>
        </w:rPr>
        <w:t xml:space="preserve"> jaunas datubāzes un tīmekļvietnes izstrādes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Ja sadarbības grupa šo noteikumu 16. punktā minētajā gadījumā kļūst par komercsabiedrību vai par kooperatīvo sabiedrību, tā ir uzskatāma par vienu sadarbības grupas partneri un par nākamo projektu kādā no intervences aktivitātēs tā nodrošina  14.  vai 24. punktā minēto atbalsta saņemšanas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Sadarbības grupa uzskatāma par jaunu atbalsta saņēmēju, ja sadarbības grupas partneru skaits mainās vairāk nekā par 70 procentiem, šajā skaitā neietverot konsultantus, vietējās rīcības grupas un 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Aktivitātē "Pārtikas īso piegāžu ķēžu darbības veicināšana" viena sadarbības projekta kopējā attiecināmo izmaksu summa nepārsniedz 500 000 </w:t>
      </w:r>
      <w:r w:rsidR="00000000" w:rsidRPr="00000000" w:rsidDel="00000000">
        <w:rPr>
          <w:i w:val="1"/>
          <w:rtl w:val="0"/>
        </w:rPr>
        <w:t xml:space="preserve">euro</w:t>
      </w:r>
      <w:r w:rsidR="00000000" w:rsidRPr="00000000" w:rsidDel="00000000">
        <w:rPr>
          <w:rtl w:val="0"/>
        </w:rPr>
        <w:t xml:space="preserve">, ja projekta mērķis ir saistīts ar kopīga piedāvājuma veidošanu publiskās ēdināšanas pakalpojumu sniegšanai. Ja projekta īstenošanas rezultātā plānoti citi produktu realizācijas veidi, viena projekta kopējā attiecināmo izmaksu summa nepārsniedz 200 000 </w:t>
      </w:r>
      <w:r w:rsidR="00000000" w:rsidRPr="00000000" w:rsidDel="00000000">
        <w:rPr>
          <w:i w:val="1"/>
          <w:rtl w:val="0"/>
        </w:rPr>
        <w:t xml:space="preserve">euro</w:t>
      </w:r>
      <w:r w:rsidR="00000000" w:rsidRPr="00000000" w:rsidDel="00000000">
        <w:rPr>
          <w:rtl w:val="0"/>
        </w:rPr>
        <w:t xml:space="preserve">. Ja projektā ir paredzēta atpazīstamības veidošana, kopējā attiecināmo šādu izmaksu summa nepārsniedz 45 000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Plānošanas periodā viena sadarbības grupa var iesniegt vairākus projektus par jaunām aktivitātēm vai darbībām, ja tās ir savstarpēji papildinošas, nodrošinot, ka nevienā no intervences aktivitātēs plānotās darbības un investīcijas savstarpēji nepārklājas un plānotās darbības ir skaidri nodalītas."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Atbalsta intensitāte ir 65 procenti no attiecināmajām izmaksām, bet atpazīstamības veidošanas pasākumiem – 80 procentu no attiecināmajām izmaksām, tostarp šo noteikumu 17.1.6., 27.1.2., 27.1.3., 27.1.4. un 27.1.6. apakšpunktā minētajām izmaksām, kas saistītas ar produktu atpazīstamības veidošanu, un 100 procentu personāla atlīdzības un netiešajām attiecināmajām izmaksām."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25-TA-2776</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25-TA-2776</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noteikumu_(grozījumu)_projekts_25-TA-2776.docx</dc:title>
</cp:coreProperties>
</file>

<file path=docProps/custom.xml><?xml version="1.0" encoding="utf-8"?>
<Properties xmlns="http://schemas.openxmlformats.org/officeDocument/2006/custom-properties" xmlns:vt="http://schemas.openxmlformats.org/officeDocument/2006/docPropsVTypes"/>
</file>