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jūlijā (prot. Nr. 29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2.1.3.3. pasākuma "Katastrofu risku mazināšanas pasākumi" ceturtās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 prioritātes "Klimata pārmaiņu mazināšana un pielāgošanās klimata pārmaiņām" 2.1.3. specifiskā atbalsta mērķa "Veicināt pielāgošanos klimata pārmaiņām, risku novēršanu un noturību pret katastrofām" 2.1.3.3. pasākuma "Katastrofu risku mazināšanas pasākumi" (turpmāk – pasākums) ceturto projektu iesniegumu atlases kārtu (turpmāk – pasākuma ceturtā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ceturtajai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ceturtās kārtas 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ceturtās kārtas mērķis ir nodrošināt katastrofu pārvaldības centru būvniecību, tai skaitā visu veidu būvju projektēšanu un būvdarbus (turpmāk – būvniecība), un to atbilstošu aprīkošanu ar iebūvējamām mēbelēm, iekārtām un specializēto tehnoloģisko aprīkojumu, lai izveidotu fizisku infrastruktūru, kas nodrošinās efektīvu un ātru reaģēšanu uz dabas un cilvēka izraisītām katastrofām, katastrofas draudiem un dažāda mēroga apdraudējumu.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ceturtās kārtas mērķa grupa ir Latvijas pašvaldības, iedzīvotāji, Iekšlietu ministrija, Nodrošinājuma valsts aģentūra un iestādes un dienesti, kas tiks izvietoti katastrofu pārvaldības centros.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Reģionālās attīstības fonda finansējumu pasākuma ceturtās kārtas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ceturto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Atbildīgās iestādes funkcijas pasākuma ceturtās kārtas ietvaros pilda Iekšlietu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ceturtās kārtas pieejamais finansējums ir 106 424 959 </w:t>
      </w:r>
      <w:r w:rsidR="00000000" w:rsidRPr="00000000" w:rsidDel="00000000">
        <w:rPr>
          <w:i w:val="1"/>
          <w:rtl w:val="0"/>
        </w:rPr>
        <w:t xml:space="preserve">euro</w:t>
      </w:r>
      <w:r w:rsidR="00000000" w:rsidRPr="00000000" w:rsidDel="00000000">
        <w:rPr>
          <w:rtl w:val="0"/>
        </w:rPr>
        <w:t xml:space="preserve">, tai skaitā Eiropas Reģionālās attīstības fonda finansējums – 24 669 413 </w:t>
      </w:r>
      <w:r w:rsidR="00000000" w:rsidRPr="00000000" w:rsidDel="00000000">
        <w:rPr>
          <w:i w:val="1"/>
          <w:rtl w:val="0"/>
        </w:rPr>
        <w:t xml:space="preserve">euro</w:t>
      </w:r>
      <w:r w:rsidR="00000000" w:rsidRPr="00000000" w:rsidDel="00000000">
        <w:rPr>
          <w:rtl w:val="0"/>
        </w:rPr>
        <w:t xml:space="preserve"> un nacionālais līdzfinansējums – 81 755 546 </w:t>
      </w:r>
      <w:r w:rsidR="00000000" w:rsidRPr="00000000" w:rsidDel="00000000">
        <w:rPr>
          <w:i w:val="1"/>
          <w:rtl w:val="0"/>
        </w:rPr>
        <w:t xml:space="preserve">euro</w:t>
      </w:r>
      <w:r w:rsidR="00000000" w:rsidRPr="00000000" w:rsidDel="00000000">
        <w:rPr>
          <w:rtl w:val="0"/>
        </w:rPr>
        <w:t xml:space="preserve"> (no tā valsts budžeta līdzfinansējums – 4 353 426 </w:t>
      </w:r>
      <w:r w:rsidR="00000000" w:rsidRPr="00000000" w:rsidDel="00000000">
        <w:rPr>
          <w:i w:val="1"/>
          <w:rtl w:val="0"/>
        </w:rPr>
        <w:t xml:space="preserve">euro</w:t>
      </w:r>
      <w:r w:rsidR="00000000" w:rsidRPr="00000000" w:rsidDel="00000000">
        <w:rPr>
          <w:rtl w:val="0"/>
        </w:rPr>
        <w:t xml:space="preserve"> un valsts budžeta līdzfinansējums, kas pārsniedz pasākumam pieejamo Eiropas Reģionālās attīstības fonda finansējumu, – 77 402 120</w:t>
      </w:r>
      <w:r w:rsidR="00000000" w:rsidRPr="00000000" w:rsidDel="00000000">
        <w:rPr>
          <w:i w:val="1"/>
          <w:rtl w:val="0"/>
        </w:rPr>
        <w:t xml:space="preserve"> euro</w:t>
      </w:r>
      <w:r w:rsidR="00000000" w:rsidRPr="00000000" w:rsidDel="00000000">
        <w:rPr>
          <w:rtl w:val="0"/>
        </w:rPr>
        <w:t xml:space="preserve">). Maksimālais attiecināmais Eiropas Reģionālās attīstības fonda finansējuma apmērs ir 85 procenti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ceturto kārtu īsteno līdz 2029. gada 31. decembrim, sasniedzot šādus iznākuma rādītājus: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jaunās vai jauninātās katastrofu monitoringa, gatavības, brīdinājuma un reaģēšanas sistēmās attiecībā uz dabas katastrofām sasniedz 106 029 189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uzbūvēti vismaz 10 katastrofu pārvaldības centri.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ceturtajā kārtā paredzēts īstenot vienu projektu – "Katastrofu pārvaldības centru būvniecība". Projekta iesniedzējs ir Nodrošinājuma valsts aģentūra,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veic izmaksu un ieguvumu analīzi (finanšu analīzi un ekonomisko analīzi) un pievieno to projekta iesniegumam. Veicot izmaksu un ieguvumu analīzi, projekta iesniedzējs nodrošina, ka projekta kopējie ieguvumi un ietaupījumi ir lielāki par projekta investīciju un darbības izmaksām visā projekta pārskata periodā.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Atbalstāmās darbības, kas sekmē šo noteikumu 2. punktā minētā mērķa un šo noteikumu 8. punktā minēto rādītāju sasniegšanu, ir šādas: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katastrofu pārvaldības centru būvniecība, citi saistītie darbi un pakalpojumi, tostarp arī minēto centru aprīkošana ar iebūvējamām iekārtām, mēbelēm un specializēto tehnoloģisko aprīkojumu, lai nodrošinātu valsts drošības stiprināšanas pasākumu īstenošanu visā Latvijas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projektu tieši saistīto komunikācijas un vizuālās identitātes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vadības un administrēšanas nodrošināšana, tostarp projekta vadītāju, būvprojekta vadošo ekspertu un projekta koordinatoru iesaistes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12. punktā minēto darbību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projekta būvuzraudzību, autoruzraudzību, būvniecības ieceres dokumentācijas izstrādi, projektēšanas un būvprojekta ekspertīzi, ja to paredz normatīvie akti būvniecībā;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būvju būvniecību, būvju un ar to saistītās infrastruktūras un teritorijas labiekārtošanas un demontāžas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saistās ar iebūvējamo iekārtu, mēbeļu un aprīkojuma iegādi un uzstādīšanu;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bezemisiju atjaunīgos energoresursus izmantojošu enerģiju ražojošu avotu iegāde un uzstādīšana, ievērojot, ka saražotā enerģija 100 procentu apmērā tiek izmantota pašpatēriņam;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funkcionalitātes nodrošināšanai nepieciešamās ūdenssaimniecības, siltumapgādes un elektroenerģijas pieslēgumu būvniecības, pārbūves vai atjaunošanas izmaksas, tostarp pieslēguma izveidošanas izmaksas efektīvai centralizētas siltumapgādes sistēmai;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energosertifikācijas un energoaudita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ārpakalpojuma izmaksas inženierkonsultantu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tiešās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53. panta 1. punktu piemēro kā to attiecināmo izmaksu atlīdzināšanu, kas faktiski radušās finansējuma saņēmējam projekta darbību īstenošanas gaitā.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13.1., 13.6. un 13.7. apakšpunktā minētās izmaksu pozīcijas kopā ir attiecināmas līdz 10 procentiem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13.9. apakšpunktā minētās tiešās attiecināmās personāla izmaksas ietver finansējuma saņēmēja projekta vadības, īstenošanas un atbalsta personāla atlīdzības izmaksas (izņemot virsstundas),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12.1. apakšpunktā minēto darbību veikšanai finansējuma saņēmējs izvēlas piegādātājus saskaņā ar normatīvajiem aktiem publisko iepirkumu jomā, īstenojot atklātu, pārredzamu, nediskriminējošu un konkurenci nodrošinošu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2021/1060 64. panta 1. punkta "c" apakšpunktā ietvertajiem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ir attiecināmas no 2024.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nodrošina, ka pasākuma ietvaros plānotās izmaksas nepārklājas ar citiem valsts un ārvalstu finanšu atbalsta instrumentiem, kā arī nodrošina dubultā finansējuma neiestāšanos.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ceturtās kārtas projektu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īstenošanas un atbalsta personālu un, paredzot atlīdzības izmaksas (izņemot virsstundas), nodrošina, ka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pirms pasākuma ceturtās kārtas projektu iesniegumu atlases izsludināšanas izstrādā kārtību, kādā tiks novērsti interešu konflikta un korupcijas riski, identificēti apstākļi, kuri izraisa vai var izraisīt interešu konfliktu vai krāpšanas vai korupcijas riskus, kas rada apdraudējumu vai kaitējumu projekta īstenošanai, noteikti veicamie pasākumi un izstrādāti darbības plāni interešu konflikta un krāpšanas un korupcijas risku preventīvai novēršanai un gadījumiem, kad interešu konflikts, krāpšana vai korupcija ir atklāta.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Īpašuma vai valdījuma tiesības uz nekustamajiem īpašumiem, kuros plānots veikt ieguldījumus, ir nostiprinātas zemesgrāmatā uz valsts vārda Iekšlietu ministrijas personā. Ja nekustamie īpašumi neatrodas Iekšlietu ministrijas īpašumā vai valdījumā, tos pārņem Iekšlietu ministrijas īpašumā vai valdījumā līdz noslēguma maksājuma pieprasījuma iesniegšanai sadarbības iestādē, kas tiek plānots perioda beigās.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faktiski sasniegtajiem šo noteikumu 8. punktā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"Objektu, kuros ir nodrošināta vides un informācijas piekļūstamība, skaits"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"Klimatdrošināšana" ievērošanu, aprakstot aktivitātes, kas nodrošina klimata pārmaiņu mazināšanu, siltumnīcefekta gāzu emisiju samazināšanu vai oglekļa dioksīda piesaisti;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 principa "Energoefektivitāte pirmajā vietā" ievērošanu, aprakstot darbības, kas paredz enerģijas ietaupījumu;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"Nenodarīt būtisku kaitējumu" ievērošanu, aprakstot darbības, kas nodrošina atbilstību tādam aspektam kā pielāgošanās klimata pārmaiņām.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nodrošina projekta ietvaros sasniegto rezultātu ilgtspēju vismaz piecus gadus pēc noslēguma maksājuma veikšanas saskaņā ar regulas (ES) 2021/1060 65. pantu.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25-TA-305</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25-TA-305</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noteikumu_projekts_25-TA-305.docx</dc:title>
</cp:coreProperties>
</file>

<file path=docProps/custom.xml><?xml version="1.0" encoding="utf-8"?>
<Properties xmlns="http://schemas.openxmlformats.org/officeDocument/2006/custom-properties" xmlns:vt="http://schemas.openxmlformats.org/officeDocument/2006/docPropsVTypes"/>
</file>