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martā (prot. Nr. 15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(Neatliekamās medicīniskās palīdzības dienestam) finansējumu 10 446 </w:t>
      </w:r>
      <w:r w:rsidR="00000000" w:rsidRPr="00000000" w:rsidDel="00000000">
        <w:rPr>
          <w:i w:val="1"/>
          <w:rtl w:val="0"/>
        </w:rPr>
        <w:t xml:space="preserve">euro</w:t>
      </w:r>
      <w:r w:rsidR="00000000" w:rsidRPr="00000000" w:rsidDel="00000000">
        <w:rPr>
          <w:rtl w:val="0"/>
        </w:rPr>
        <w:t xml:space="preserve"> apmērā, lai segtu izdevumus, kas radušies laikposmā no 2021. gada 1. decembra līdz 2022. gada 12. janvārim saistībā ar to personu, kurām diagnosticēts pozitīvs Covid-19 tests, nogādāšanu uz dzīvesvietu vai uzturēšanās vietu, vai Latvijas Investīciju un attīstības aģentūras administrētajā tūristu mītņu sarakstā minētu tūristu mītni.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22-TA-536</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22-TA-536</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rīkojuma_projekts_22-TA-536.docx</dc:title>
</cp:coreProperties>
</file>

<file path=docProps/custom.xml><?xml version="1.0" encoding="utf-8"?>
<Properties xmlns="http://schemas.openxmlformats.org/officeDocument/2006/custom-properties" xmlns:vt="http://schemas.openxmlformats.org/officeDocument/2006/docPropsVTypes"/>
</file>