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februārī (prot. Nr. 7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w:t>
      </w:r>
      <w:r w:rsidR="00000000" w:rsidRPr="00000000" w:rsidDel="00000000">
        <w:rPr>
          <w:rStyle w:val="paragraph"/>
          <w:i w:val="1"/>
          <w:rtl w:val="0"/>
        </w:rPr>
        <w:t xml:space="preserve">43.</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 (Latvijas Vēstnesis, 2022, 75. nr.; 2025, 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un piekto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 Vispārīgie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kārtību, kādā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minētajos gadījumos ar tehniskajiem līdzekļiem fiksētā informācija paziņojama adresātam."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 mērķa transportlīdzeklis – transportlīdzeklis, ar kuru izdarīts pārkāpums, kas fiksēts ar tehnisko līdzekli;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 vidējā braukšanas ātruma kontroles sistēma – automātiska sistēma, kas nosaka mērķa transportlīdzekļa vidējo braukšanas ātrumu, pamatojoties uz noteikta ceļa posma nobraukšanai patērēto laiku. Sistēma ir aprīkota ar reģistrēšanas iekārtām katrā noteiktā ceļa posma kontroles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3. automātiskie auto svari – automātiska sistēma, kas nosaka mērķa transportlīdzekļa (tostarp arī transportlīdzekļu sastāva) faktisko masu un ass slodzi. Sistēma ir aprīkota ar ceļā iebūvētiem sensoriem un ar reģistrēšanas iekārtām katrā noteiktā ceļa posma kontroles 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4. kontroles vieta – zona, kas apzīmēta ar vizuāliem marķieriem un kur notiek kontrole. Kontroles vieta ir aprīkota ar reģistrēšanas iekārtu (kameru), kas reaģē uz mērķa transportlīdzekli un nodrošina tā fiksēšanu, kad mērķa transportlīdzeklis iebrauc ceļa posmā vai izbrauc no 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Tehniskos līdzekļus uzstāda uz ceļiem vietās vai posmos, kur nepieciešams veikt Ministru kabineta 2015. gada 2. jūnija noteikumu Nr. 279 "Ceļu satiksmes noteikumi", Ceļu satiksmes likuma, Autopārvadājumu likuma un Autoceļu lietošanas nodevas likuma pārkāpumu kontroli vai novērst ceļu satiksmes negadījumus ar bojāgājušajiem vai cietušajiem."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Lai informētu transportlīdzekļu vadītājus par vietām, kur tehniskie līdzekļi uzstādīti stacionāri, konkrētā ceļa vai ceļa posma pārvaldītājs minētās vietas apzīmē ar attiecīgām ceļa zīmēm, apzīmējumiem un citiem ceļu satiksmes organizācijas tehniskajiem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Informāciju par vietām, kur uzstādīti stacionārie tehniskie līdzekļi, norādot tehniskā līdzekļa veidu un atrašanās vietu, policija, valsts akciju sabiedrība "Ceļu satiksmes drošības direkcija", valsts vai pašvaldības ceļa pārvaldītājs un dzelzceļa infrastruktūras pārvaldītājs publicē transporta nozares informācijas nacionālajā (valsts) piekļuves punktā www.transportdata.gov.lv. Informāciju par vietām, kur uzstādīti vai noņemti stacionārie tehniskie līdzekļi, policija, valsts akciju sabiedrība "Ceļu satiksmes drošības direkcija", valsts vai pašvaldības ceļa pārvaldītāji un dzelzceļa infrastruktūras pārvaldītāji transporta nozares informācijas nacionālajā (valsts) piekļuves punktā www.transportdata.gov.lv aktualizē reizi nedēļā."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Uz tehniskā līdzekļa ir attēlota šāda informācija par iekārtu: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ražotāja nosaukums vai ražotāja reģistrētā preču zīme;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tips, modelis;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sērijas numurs un izgatavošanas gads;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energoapgādes avota spriegums;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mērāmo lielumu diapazons (ja attiecināms uz tehnisko līdzekli);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ekspluatācijas temperatūras diapazons."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Vidējā braukšanas ātruma kontroles sistēmai piemērojamas šādas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 kontroles vietas viduslīnija ir apzīmēta ar vizuāliem marķieriem uz ceļa brauktuves vai ceļa brauktuves malā;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ir nodrošināta mērķa transportlīdzekļa fotoattēla vai fotoattēlu secīga kopuma ģenerēšana un ar laika zīmogu aizsargāta šķērsošanas brīža reģistrācija, kad mērķa transportlīdzeklis šķērso kontroles vietu, kā arī transportlīdzekļa valsts reģistrācijas numura zīmes atpazīšana;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3. ir nodrošināta iekārtas laika sinhronizācija ar vismaz diviem neatkarīgiem precīza laika avotiem;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4. 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5. mērķa transportlīdzekļa vidējā braukšanas ātruma noteikšanas diapazons ir vismaz no 20 km/h līdz ne mazāk kā 200 km/h;</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6. ekspluatācijas temperatūras diapazons ir vismaz no –25 °C līdz ne mazāk kā +50 °C;</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7. maksimāli pieļaujamā kļūda (precizitāte) faktiskajos ekspluatācijas apstākļos nepārsniedz ±3 km/h no mērķa transportlīdzekļa vidējā braukšanas ātruma;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8. vidējo braukšanas ātrumu uzrāda kilometros stundā ar iedaļas vērtību viens kilometrs stundā. Noteiktā vērtība tiek noapaļota uz leju līdz tuvākajam veselajam skaitlim. Kilometrus stundā norāda blakus skaitliskajai vērtībai."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Automātisko auto svaru maksimāli pieļaujamā kļūda faktiskajos ekspluatācijas apstākļos nepārsniedz ±10 % no transportlīdzekļa (transportlīdzekļu sastāva) faktiskās masas vai ass slodzes."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Tehniskā līdzekļa aparatūras sastāvdaļu, kas var būtiski ietekmēt ātruma mērierīces raksturlielumus, izgatavo tā, lai tā būtu droši aizsargāta no jebkuras iejaukšanās un būtu identificējama."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Programmatūru, kas ietekmē tehniskā līdzekļa metroloģiskos raksturlielumus, attiecīgi identificē, un tai jābūt pienācīgi aizsargātai no jebkādas neatļautas iejaukšanās. Programmatūras identifikāciju nodrošina pats tehniskais līdzeklis, un pierādījumiem par iejaukšanos aizsargātajā programmatūrā jābūt pieejamiem vismaz 12 mēnešus pēc iejaukšanās. Programmatūras identifikācija ietver identifikācijas numuru, programmatūras versiju un kontrolsummu jeb jaucējsummu."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Tehniskā līdzekļa dati un visi uzglabājamie vai pārraidāmie būtiskie parametri ir nodrošināti pret  nejaušu vai  apzinātu iejaukšanos, kā arī ir nodrošināta datu  integritāte atbilstoši normatīvajiem aktiem par minimālajām kiberdrošības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Policija, valsts akciju sabiedrība "Ceļu satiksmes drošības direkcija", valsts vai pašvaldības ceļa pārvaldītājs un dzelzceļa infrastruktūras pārvaldītājs,  nodrošinot tehnisko līdzekļu darbību, iesniedz transportlīdzekļu un to vadītāju valsts reģistrā šādu informāciju par fiksēto pārkāpumu: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šo noteikumu 2. punktā minētā pārkāpuma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pārkāpuma fiksēšanas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pārkāpuma fiksēšanas datums un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transportlīdzekļa attēls un videoieraksts (ja tāds tiek veikts) pārkāpuma fiksēšanas brīdī;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pārkāpumu izdarījušā transportlīdzekļa valsts reģistrācijas numura zīmes valstspiederības kods un valsts reģistrācijas numurs teksta formā;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pārkāpumu izdarījušā transportlīdzekļa aizņemtā ceļa josla un kustības virziens (ja tādi dati tiek iegūti);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pārkāpumu izdarījušā transportlīdzekļa braukšanas ātrums pārkāpuma fiksēšanas brīdī (ja fiksēta braukšanas ātruma neievērošana);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atļautais braukšanas ātrums pārkāpuma fiksēšanas vietā (ja fiksēta braukšanas ātruma neievērošana);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pārkāpuma fiksēšanai izmantotās iekārtas tips (modelis), iekārtas sērijas numurs un iekārtas pieļaujamā kļūda (ja fiksēta braukšanas ātruma neievērošana vai transportlīdzekļa (transportlīdzekļu sastāva) pilnās masas, atļautās faktiskās masas vai pieļaujamās ass slodzes pārsniegšana);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 ja braukšanas ātruma neievērošana fiksēta, izmantojot vidējā braukšanas ātruma kontroles sistēmu, papildus iesniedz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6.10.1. pulksteņlaiks vidējā braukšanas ātruma kontroles posma sākuma punktā un beigu 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6.10.2. pārkāpumu izdarījušā transportlīdzekļa attēls vidējā braukšanas ātruma kontroles posma sākuma punktā un beigu 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6.10.3. vidējā ātruma kontroles posma garums;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ja fiksēta kustību aizliedzošā luksofora signāla neievērošana, papildus iesniedz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6.11.1. luksofora dzeltenā signāla ilgums;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6.11.2. luksofora sarkanā signāla ilgums;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ja fiksēta transportlīdzekļa (transportlīdzekļu sastāva) pilnās masas, atļautās faktiskās masas vai pieļaujamās ass slodzes pārsniegšana, papildus iesniedz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6.12.1. transportlīdzekļa (transportlīdzekļu sastāva) faktiskā masa;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6.12.2. transportlīdzekļa (transportlīdzekļu sastāva) katras ass faktiskā slodze."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IV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Ar tehniskajiem līdzekļiem fiksētās informācijas paziņošana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Par iespējamu pārkāpumu – tāda transportlīdzekļa izmantošanu ceļu satiksmē, kuram noteiktajā termiņā nav veikta valsts tehniskā apskate vai par kuru nav veikta tā īpašnieka civiltiesiskās atbildības obligātā apdrošināšana, – kas fiksēts ar tehniskajiem līdzekļiem, transportlīdzekļu un to vadītāju valsts reģistrā automātiskā datu apstrādes režīmā tiek sagatavots paziņojums par fiksēto gadījumu (turpmāk – paziņojums).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Paziņojumā ietver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fiksētais iespējamais pārkāpums (norādāms viens no diviem iespējamajiem pārkāpumiem vai arī abi pārkāpumi, ja tie tiek fiksēti vienlaikus);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pārkāpuma fiksēšanas vieta, datums un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fiksētā transportlīdzekļa marka un valsts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atgādinājums par to, ka atbilstoši Ceļu satiksmes likuma 20. panta pirmās daļas regulējumam transportlīdzekļa īpašniekam (valdītājam, turētājam) ir pienākums darīt visu nepieciešamo, lai ceļu satiksmē netiktu izmantoti tādi viņa lietošanā esošie transportlīdzekļi, kuriem nav dota atļauja piedalīties ceļu satiksmē vai uz kuriem attiecas aizliegums piedalīties ceļu satiksmē;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norāde par to, ka paziņojums ir derīgs bez amatpersonas paraksta.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Sagatavoto paziņojumu nekavējoties nosūta Administratīvās atbildības likuma 162. panta pirmajā daļā minētajai personai uz oficiālo elektronisko adresi, kā arī uz elektroniskā pasta adresi (ja tāda norādīta), kas reģistrēta valsts akciju sabiedrības "Ceļu satiksmes drošības direkcija" uzturētajos e-pakalpojumos."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25-TA-2052</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25-TA-2052</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noteikumu_(grozījumu)_projekts_25-TA-2052.docx</dc:title>
</cp:coreProperties>
</file>

<file path=docProps/custom.xml><?xml version="1.0" encoding="utf-8"?>
<Properties xmlns="http://schemas.openxmlformats.org/officeDocument/2006/custom-properties" xmlns:vt="http://schemas.openxmlformats.org/officeDocument/2006/docPropsVTypes"/>
</file>