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22. decembra noteikumos Nr. 775 "Gada pārskatu un konsolidēto gada pārskatu likuma piemērošanas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Gada pārskatu un konsolidēto gada pārskatu likuma 15.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22. decembra noteikumos Nr. 775 "Gada pārskatu un konsolidēto gada pārskatu likuma piemērošanas noteikumi" (Latvijas Vēstnesis, 2015, 253. nr.; 2017, 21. nr.; 2018, 33. nr.; 2022, 39. nr.) grozījumu un papildināt noteikumus ar jaunu 10.</w:t>
      </w:r>
      <w:r w:rsidR="00000000" w:rsidRPr="00000000" w:rsidDel="00000000">
        <w:rPr>
          <w:vertAlign w:val="superscript"/>
          <w:rtl w:val="0"/>
        </w:rPr>
        <w:t xml:space="preserve">1 </w:t>
      </w:r>
      <w:r w:rsidR="00000000" w:rsidRPr="00000000" w:rsidDel="00000000">
        <w:rPr>
          <w:rtl w:val="0"/>
        </w:rPr>
        <w:t xml:space="preserve">nodaļu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 </w:t>
      </w:r>
      <w:r w:rsidR="00000000" w:rsidRPr="00000000" w:rsidDel="00000000">
        <w:rPr>
          <w:rtl w:val="0"/>
        </w:rPr>
        <w:t xml:space="preserve">Kriptoaktīvu uzrādīšana grāmatvedībā un finanšu pārskatā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Šajos noteikumos termins “kriptoaktīvs” un “elektroniskās naudas žetons” atbilst Eiropas Parlamenta un Padomes 2023. gada 31. maija regulas (ES) 2023/1114 par kriptoaktīvu tirgiem un ar ko groza regulas (ES) Nr. 1093/2010 un (ES) Nr.  1095/2010 un direktīvas 2013/36/ES un (ES) 2019/1937 (turpmāk — Regula Nr.  2023/1114) 3. panta 1. punkta 5. un 7. apakšpunktā lietotajiem terminiem.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2</w:t>
      </w:r>
      <w:r w:rsidR="00000000" w:rsidRPr="00000000" w:rsidDel="00000000">
        <w:rPr>
          <w:rtl w:val="0"/>
        </w:rPr>
        <w:t xml:space="preserve"> Novērtējot kriptoaktīvu, ir jāievēro Regulas Nr.  2023/1114 noteiktās prasības.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Ja kriptoaktīvs tiek izmantots kā maiņas līdzeklis (pirkts, izmantojot atzītu likumīgu maksāšanas līdzekli vai iegūts apmaiņas ceļā), tad šādu kriptoaktīvu: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1. norāda atbilstoši iegādes izmaksām apgrozāmo līdzekļu sastāvā kā krājumus, izveidojot atsevišķu apakšposteni “Kriptoaktīvi”;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2. gada beigās kriptoaktīvu atlikumu vērtību koriģē, lai tie bilances datumā būtu novērtēti atbilstoši iegādes izmaksām vai zemākajām tirgus cenām bilances datumā atkarībā no tā, kurš no šiem rādītājiem ir zemāks, tās drīkst novērtēt neto pārdošanas vērtībā (aprēķina kā aplēstās pārdošanas cenas un aplēsto pārdošanas izmaksu starpību).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4</w:t>
      </w:r>
      <w:r w:rsidR="00000000" w:rsidRPr="00000000" w:rsidDel="00000000">
        <w:rPr>
          <w:rtl w:val="0"/>
        </w:rPr>
        <w:t xml:space="preserve"> Elektroniskās naudas žetonu un elektronisko naudu  Maksājumu pakalpojumu un elektroniskās naudas likuma izpratnē, grāmatvedībā uzrāda apgrozāmo līdzekļu sastāvā postenī “Nauda”, izveidojot apakšposteni “Elektroniskā nauda”.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5</w:t>
      </w:r>
      <w:r w:rsidR="00000000" w:rsidRPr="00000000" w:rsidDel="00000000">
        <w:rPr>
          <w:rtl w:val="0"/>
        </w:rPr>
        <w:t xml:space="preserve"> Sabiedrība finanšu pārskata pielikumā sniedz informāciju par kriptoaktīvu uzskaitei pieņemto grāmatvedības politiku.”.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23-TA-1128</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23-TA-1128</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noteikumu_(grozījumu)_projekts_23-TA-1128.docx</dc:title>
</cp:coreProperties>
</file>

<file path=docProps/custom.xml><?xml version="1.0" encoding="utf-8"?>
<Properties xmlns="http://schemas.openxmlformats.org/officeDocument/2006/custom-properties" xmlns:vt="http://schemas.openxmlformats.org/officeDocument/2006/docPropsVTypes"/>
</file>