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izmaiņām Latvijas iemaksu grafikā Eiropas Padomes Attīstības bankas vispārējā kapitāla palielināšanai"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Finanšu ministrijai veikt izmaiņas iemaksu grafikā, izpildot saistības Eiropas Padomes Attīstības bankas vispārējā kapitāla palielināšanai un paredzot iemaksas palielinājumu 2026. gadam un samazinājumu 2027. gadam, un attiecīgi precizēt Ministru kabineta 2022. gada 15. novembra sēdes protokollēmuma "Informatīvais ziņojums "Par kapitāla palielināšanu Eiropas Padomes Attīstības bankā"" (prot. Nr. 57 49. §) 4. punktā paredzēto Finanšu ministrijas budžeta apakšprogrammā 41.03.00 "Iemaksas starptautiskajās organizācijās" vispārējā kārtībā sadalāmo dotāciju no vispārējiem ieņēmumiem 2026. gadam 701 623 </w:t>
      </w:r>
      <w:r w:rsidR="00000000" w:rsidRPr="00000000" w:rsidDel="00000000">
        <w:rPr>
          <w:i w:val="1"/>
          <w:rtl w:val="0"/>
        </w:rPr>
        <w:t xml:space="preserve">euro</w:t>
      </w:r>
      <w:r w:rsidR="00000000" w:rsidRPr="00000000" w:rsidDel="00000000">
        <w:rPr>
          <w:rtl w:val="0"/>
        </w:rPr>
        <w:t xml:space="preserve"> apmērā, un atbilstoši paredzēt apropriāciju kategorijā "Akcijas un cita līdzdalība pašu kapitālā".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24-TA-1777</w:t>
    </w:r>
    <w:r>
      <w:br/>
    </w:r>
    <w:r w:rsidR="00000000" w:rsidRPr="00000000" w:rsidDel="00000000">
      <w:rPr>
        <w:rtl w:val="0"/>
      </w:rPr>
      <w:t xml:space="preserve">Izdrukāts 29.07.2026. 21.17 - 1.0.VK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mk_sēdes_protokollēmuma_projekts_24-TA-1777.docx</dc:title>
</cp:coreProperties>
</file>

<file path=docProps/custom.xml><?xml version="1.0" encoding="utf-8"?>
<Properties xmlns="http://schemas.openxmlformats.org/officeDocument/2006/custom-properties" xmlns:vt="http://schemas.openxmlformats.org/officeDocument/2006/docPropsVTypes"/>
</file>