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3.1.2.1.i. investīcijas "Publisko pakalpojumu un nodarbinātības pieejamības veicināšanas pasākumi cilvēkiem ar funkcionāliem traucējumiem" (turpmāk – 3.1.2.1.i. investīcija) otrās kārtas "Atbalsta pasākumi cilvēkiem ar invaliditāti mājokļu vides pieejamības nodrošināšanai" (turpmāk – otrā kārta) īstenošanai nepieciešamā pievienotās vērtības nodokļa ne vairāk kā 917 410 </w:t>
      </w:r>
      <w:r w:rsidR="00000000" w:rsidRPr="00000000" w:rsidDel="00000000">
        <w:rPr>
          <w:i w:val="1"/>
          <w:rtl w:val="0"/>
        </w:rPr>
        <w:t xml:space="preserve">euro</w:t>
      </w:r>
      <w:r w:rsidR="00000000" w:rsidRPr="00000000" w:rsidDel="00000000">
        <w:rPr>
          <w:rtl w:val="0"/>
        </w:rPr>
        <w:t xml:space="preserve"> apmērā segšanu no valsts budžeta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Atzīt par aktualitāti zaudējušu Ministru kabineta 2026. gada 16. jūnija sēdes protokollēmuma (prot. Nr. 33 14. §) "Noteikumu projekts "Grozījumi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3. punktu.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26-TA-2303</w:t>
    </w:r>
    <w:r>
      <w:br/>
    </w:r>
    <w:r w:rsidR="00000000" w:rsidRPr="00000000" w:rsidDel="00000000">
      <w:rPr>
        <w:rtl w:val="0"/>
      </w:rPr>
      <w:t xml:space="preserve">Izdrukāts 07.10.2026. 16.58 - 2.0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mk_sēdes_protokollēmuma_projekts_26-TA-2303.docx</dc:title>
</cp:coreProperties>
</file>

<file path=docProps/custom.xml><?xml version="1.0" encoding="utf-8"?>
<Properties xmlns="http://schemas.openxmlformats.org/officeDocument/2006/custom-properties" xmlns:vt="http://schemas.openxmlformats.org/officeDocument/2006/docPropsVTypes"/>
</file>