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FD7" w:rsidRPr="00821C92" w:rsidRDefault="00EF4FD7" w:rsidP="00EF4FD7">
      <w:pPr>
        <w:pStyle w:val="ListParagraph"/>
        <w:spacing w:before="130" w:after="0" w:line="260" w:lineRule="exact"/>
        <w:ind w:left="0" w:firstLine="539"/>
        <w:contextualSpacing w:val="0"/>
        <w:jc w:val="right"/>
        <w:rPr>
          <w:rFonts w:ascii="Cambria" w:hAnsi="Cambria"/>
          <w:sz w:val="19"/>
          <w:szCs w:val="28"/>
        </w:rPr>
      </w:pPr>
      <w:r w:rsidRPr="00821C92">
        <w:rPr>
          <w:rFonts w:ascii="Cambria" w:eastAsia="Times New Roman" w:hAnsi="Cambria"/>
          <w:sz w:val="19"/>
          <w:szCs w:val="28"/>
        </w:rPr>
        <w:t>8. pielikums</w:t>
      </w:r>
      <w:r w:rsidRPr="00821C92">
        <w:rPr>
          <w:rFonts w:ascii="Cambria" w:eastAsia="Times New Roman" w:hAnsi="Cambria"/>
          <w:sz w:val="19"/>
          <w:szCs w:val="28"/>
        </w:rPr>
        <w:br/>
      </w:r>
      <w:r w:rsidRPr="00821C92">
        <w:rPr>
          <w:rFonts w:ascii="Cambria" w:hAnsi="Cambria"/>
          <w:sz w:val="19"/>
          <w:szCs w:val="28"/>
        </w:rPr>
        <w:t>Ministru kabineta</w:t>
      </w:r>
      <w:r w:rsidRPr="00821C92">
        <w:rPr>
          <w:rFonts w:ascii="Cambria" w:hAnsi="Cambria"/>
          <w:sz w:val="19"/>
          <w:szCs w:val="28"/>
        </w:rPr>
        <w:br/>
        <w:t>2019. gada 26. marta</w:t>
      </w:r>
      <w:r w:rsidRPr="00821C92">
        <w:rPr>
          <w:rFonts w:ascii="Cambria" w:hAnsi="Cambria"/>
          <w:sz w:val="19"/>
          <w:szCs w:val="28"/>
        </w:rPr>
        <w:br/>
        <w:t>noteikumiem Nr. 128</w:t>
      </w:r>
    </w:p>
    <w:p w:rsidR="00EF4FD7" w:rsidRPr="00821C92" w:rsidRDefault="00EF4FD7" w:rsidP="00EF4FD7">
      <w:pPr>
        <w:spacing w:before="360" w:after="0" w:line="240" w:lineRule="auto"/>
        <w:ind w:left="567" w:right="567"/>
        <w:jc w:val="center"/>
        <w:rPr>
          <w:rFonts w:ascii="Cambria" w:eastAsia="Times New Roman" w:hAnsi="Cambria"/>
          <w:b/>
          <w:bCs/>
          <w:szCs w:val="28"/>
          <w:lang w:eastAsia="lv-LV"/>
        </w:rPr>
      </w:pPr>
      <w:r w:rsidRPr="00821C92">
        <w:rPr>
          <w:rFonts w:ascii="Cambria" w:eastAsia="Times New Roman" w:hAnsi="Cambria"/>
          <w:b/>
          <w:bCs/>
          <w:szCs w:val="28"/>
          <w:lang w:eastAsia="lv-LV"/>
        </w:rPr>
        <w:t>Meliorācijas sistēmas darbības atbilstības novērtējums</w:t>
      </w:r>
    </w:p>
    <w:p w:rsidR="00EF4FD7" w:rsidRPr="00821C92" w:rsidRDefault="00EF4FD7" w:rsidP="00EF4FD7">
      <w:pPr>
        <w:spacing w:before="130" w:after="0" w:line="260" w:lineRule="exact"/>
        <w:ind w:firstLine="539"/>
        <w:jc w:val="center"/>
        <w:rPr>
          <w:rFonts w:ascii="Cambria" w:eastAsia="Times New Roman" w:hAnsi="Cambria"/>
          <w:bCs/>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344"/>
        <w:gridCol w:w="736"/>
        <w:gridCol w:w="322"/>
        <w:gridCol w:w="319"/>
        <w:gridCol w:w="314"/>
        <w:gridCol w:w="357"/>
        <w:gridCol w:w="365"/>
        <w:gridCol w:w="365"/>
        <w:gridCol w:w="363"/>
        <w:gridCol w:w="364"/>
        <w:gridCol w:w="353"/>
        <w:gridCol w:w="988"/>
        <w:gridCol w:w="1011"/>
        <w:gridCol w:w="1095"/>
      </w:tblGrid>
      <w:tr w:rsidR="00EF4FD7" w:rsidRPr="00821C92" w:rsidTr="00FF690F">
        <w:trPr>
          <w:trHeight w:val="227"/>
        </w:trPr>
        <w:tc>
          <w:tcPr>
            <w:tcW w:w="1522" w:type="dxa"/>
            <w:vMerge w:val="restart"/>
            <w:shd w:val="clear" w:color="auto" w:fill="auto"/>
            <w:vAlign w:val="center"/>
          </w:tcPr>
          <w:p w:rsidR="00EF4FD7" w:rsidRPr="00821C92" w:rsidRDefault="00EF4FD7" w:rsidP="00FF690F">
            <w:pPr>
              <w:spacing w:after="0" w:line="240" w:lineRule="auto"/>
              <w:jc w:val="center"/>
              <w:rPr>
                <w:rFonts w:ascii="Cambria" w:eastAsia="Times New Roman" w:hAnsi="Cambria"/>
                <w:b/>
                <w:bCs/>
                <w:sz w:val="19"/>
                <w:szCs w:val="24"/>
                <w:lang w:eastAsia="lv-LV"/>
              </w:rPr>
            </w:pPr>
            <w:r w:rsidRPr="00821C92">
              <w:rPr>
                <w:rFonts w:ascii="Cambria" w:hAnsi="Cambria"/>
                <w:sz w:val="19"/>
                <w:szCs w:val="24"/>
                <w:lang w:eastAsia="lv-LV"/>
              </w:rPr>
              <w:t>Meliorācijas sistēmas (objekta) kadastra Nr.</w:t>
            </w:r>
          </w:p>
        </w:tc>
        <w:tc>
          <w:tcPr>
            <w:tcW w:w="804" w:type="dxa"/>
            <w:vMerge w:val="restart"/>
            <w:shd w:val="clear" w:color="auto" w:fill="auto"/>
            <w:vAlign w:val="center"/>
          </w:tcPr>
          <w:p w:rsidR="00EF4FD7" w:rsidRPr="00821C92" w:rsidRDefault="00EF4FD7" w:rsidP="00FF690F">
            <w:pPr>
              <w:spacing w:after="0" w:line="240" w:lineRule="auto"/>
              <w:jc w:val="center"/>
              <w:rPr>
                <w:rFonts w:ascii="Cambria" w:eastAsia="Times New Roman" w:hAnsi="Cambria"/>
                <w:b/>
                <w:bCs/>
                <w:sz w:val="19"/>
                <w:szCs w:val="24"/>
                <w:lang w:eastAsia="lv-LV"/>
              </w:rPr>
            </w:pPr>
            <w:r w:rsidRPr="00821C92">
              <w:rPr>
                <w:rFonts w:ascii="Cambria" w:hAnsi="Cambria"/>
                <w:sz w:val="19"/>
                <w:szCs w:val="24"/>
                <w:lang w:eastAsia="lv-LV"/>
              </w:rPr>
              <w:t>Kopējā platība (ha)</w:t>
            </w:r>
          </w:p>
        </w:tc>
        <w:tc>
          <w:tcPr>
            <w:tcW w:w="3625" w:type="dxa"/>
            <w:gridSpan w:val="9"/>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Būvju tehniskā stāvokļa novērtējums (+/–)</w:t>
            </w:r>
          </w:p>
        </w:tc>
        <w:tc>
          <w:tcPr>
            <w:tcW w:w="1096" w:type="dxa"/>
            <w:vMerge w:val="restart"/>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Kontūras Nr.</w:t>
            </w:r>
          </w:p>
        </w:tc>
        <w:tc>
          <w:tcPr>
            <w:tcW w:w="2446" w:type="dxa"/>
            <w:gridSpan w:val="2"/>
            <w:shd w:val="clear" w:color="auto" w:fill="auto"/>
            <w:vAlign w:val="center"/>
          </w:tcPr>
          <w:p w:rsidR="00EF4FD7" w:rsidRPr="00821C92" w:rsidRDefault="00EF4FD7" w:rsidP="00FF690F">
            <w:pPr>
              <w:spacing w:after="0" w:line="240" w:lineRule="auto"/>
              <w:jc w:val="center"/>
              <w:rPr>
                <w:rFonts w:ascii="Cambria" w:eastAsia="Times New Roman" w:hAnsi="Cambria"/>
                <w:b/>
                <w:bCs/>
                <w:sz w:val="19"/>
                <w:szCs w:val="24"/>
                <w:lang w:eastAsia="lv-LV"/>
              </w:rPr>
            </w:pPr>
            <w:r w:rsidRPr="00821C92">
              <w:rPr>
                <w:rFonts w:ascii="Cambria" w:hAnsi="Cambria"/>
                <w:sz w:val="19"/>
                <w:szCs w:val="24"/>
                <w:lang w:eastAsia="lv-LV"/>
              </w:rPr>
              <w:t>Meliorācijas sistēmas darbības atbilstība (ha)</w:t>
            </w:r>
          </w:p>
        </w:tc>
      </w:tr>
      <w:tr w:rsidR="00EF4FD7" w:rsidRPr="00821C92" w:rsidTr="00FF690F">
        <w:trPr>
          <w:trHeight w:val="227"/>
        </w:trPr>
        <w:tc>
          <w:tcPr>
            <w:tcW w:w="1522" w:type="dxa"/>
            <w:vMerge/>
            <w:shd w:val="clear" w:color="auto" w:fill="auto"/>
            <w:vAlign w:val="center"/>
          </w:tcPr>
          <w:p w:rsidR="00EF4FD7" w:rsidRPr="00821C92" w:rsidRDefault="00EF4FD7" w:rsidP="00FF690F">
            <w:pPr>
              <w:spacing w:after="0" w:line="240" w:lineRule="auto"/>
              <w:jc w:val="center"/>
              <w:rPr>
                <w:rFonts w:ascii="Cambria" w:hAnsi="Cambria"/>
                <w:sz w:val="19"/>
                <w:szCs w:val="24"/>
                <w:lang w:eastAsia="lv-LV"/>
              </w:rPr>
            </w:pPr>
          </w:p>
        </w:tc>
        <w:tc>
          <w:tcPr>
            <w:tcW w:w="804" w:type="dxa"/>
            <w:vMerge/>
            <w:shd w:val="clear" w:color="auto" w:fill="auto"/>
            <w:vAlign w:val="center"/>
          </w:tcPr>
          <w:p w:rsidR="00EF4FD7" w:rsidRPr="00821C92" w:rsidRDefault="00EF4FD7" w:rsidP="00FF690F">
            <w:pPr>
              <w:spacing w:after="0" w:line="240" w:lineRule="auto"/>
              <w:jc w:val="center"/>
              <w:rPr>
                <w:rFonts w:ascii="Cambria" w:hAnsi="Cambria"/>
                <w:sz w:val="19"/>
                <w:szCs w:val="24"/>
                <w:lang w:eastAsia="lv-LV"/>
              </w:rPr>
            </w:pPr>
          </w:p>
        </w:tc>
        <w:tc>
          <w:tcPr>
            <w:tcW w:w="402"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N</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K</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S</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SN</w:t>
            </w:r>
          </w:p>
        </w:tc>
        <w:tc>
          <w:tcPr>
            <w:tcW w:w="402"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DK</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DR</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KA</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UA</w:t>
            </w:r>
          </w:p>
        </w:tc>
        <w:tc>
          <w:tcPr>
            <w:tcW w:w="403" w:type="dxa"/>
            <w:shd w:val="clear" w:color="auto" w:fill="auto"/>
            <w:vAlign w:val="center"/>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R</w:t>
            </w:r>
          </w:p>
        </w:tc>
        <w:tc>
          <w:tcPr>
            <w:tcW w:w="1096" w:type="dxa"/>
            <w:vMerge/>
            <w:shd w:val="clear" w:color="auto" w:fill="auto"/>
            <w:vAlign w:val="center"/>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110" w:type="dxa"/>
            <w:shd w:val="clear" w:color="auto" w:fill="auto"/>
            <w:vAlign w:val="center"/>
          </w:tcPr>
          <w:p w:rsidR="00EF4FD7" w:rsidRPr="00821C92" w:rsidRDefault="00EF4FD7" w:rsidP="00FF690F">
            <w:pPr>
              <w:pStyle w:val="NoSpacing"/>
              <w:jc w:val="center"/>
              <w:rPr>
                <w:rFonts w:ascii="Cambria" w:hAnsi="Cambria"/>
                <w:sz w:val="19"/>
                <w:szCs w:val="24"/>
                <w:lang w:eastAsia="lv-LV"/>
              </w:rPr>
            </w:pPr>
            <w:r w:rsidRPr="00821C92">
              <w:rPr>
                <w:rFonts w:ascii="Cambria" w:hAnsi="Cambria"/>
                <w:sz w:val="19"/>
                <w:szCs w:val="24"/>
                <w:lang w:eastAsia="lv-LV"/>
              </w:rPr>
              <w:t>atbilstoša</w:t>
            </w:r>
          </w:p>
        </w:tc>
        <w:tc>
          <w:tcPr>
            <w:tcW w:w="1336" w:type="dxa"/>
            <w:shd w:val="clear" w:color="auto" w:fill="auto"/>
            <w:vAlign w:val="center"/>
          </w:tcPr>
          <w:p w:rsidR="00EF4FD7" w:rsidRPr="00821C92" w:rsidRDefault="00EF4FD7" w:rsidP="00FF690F">
            <w:pPr>
              <w:pStyle w:val="NoSpacing"/>
              <w:jc w:val="center"/>
              <w:rPr>
                <w:rFonts w:ascii="Cambria" w:hAnsi="Cambria"/>
                <w:sz w:val="19"/>
                <w:szCs w:val="24"/>
                <w:lang w:eastAsia="lv-LV"/>
              </w:rPr>
            </w:pPr>
            <w:r w:rsidRPr="00821C92">
              <w:rPr>
                <w:rFonts w:ascii="Cambria" w:hAnsi="Cambria"/>
                <w:sz w:val="19"/>
                <w:szCs w:val="24"/>
                <w:lang w:eastAsia="lv-LV"/>
              </w:rPr>
              <w:t>neat</w:t>
            </w:r>
            <w:r w:rsidRPr="00821C92">
              <w:rPr>
                <w:rFonts w:ascii="Cambria" w:hAnsi="Cambria"/>
                <w:sz w:val="19"/>
                <w:szCs w:val="24"/>
                <w:lang w:eastAsia="lv-LV"/>
              </w:rPr>
              <w:softHyphen/>
              <w:t>bilstoša</w:t>
            </w:r>
          </w:p>
        </w:tc>
      </w:tr>
      <w:tr w:rsidR="00EF4FD7" w:rsidRPr="00821C92" w:rsidTr="00FF690F">
        <w:trPr>
          <w:trHeight w:val="227"/>
        </w:trPr>
        <w:tc>
          <w:tcPr>
            <w:tcW w:w="1522"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1</w:t>
            </w:r>
          </w:p>
        </w:tc>
        <w:tc>
          <w:tcPr>
            <w:tcW w:w="804"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2</w:t>
            </w: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3</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4</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5</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6</w:t>
            </w: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7</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8</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9</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10</w:t>
            </w: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0"/>
                <w:lang w:eastAsia="lv-LV"/>
              </w:rPr>
              <w:t>11</w:t>
            </w:r>
          </w:p>
        </w:tc>
        <w:tc>
          <w:tcPr>
            <w:tcW w:w="1096"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12</w:t>
            </w:r>
          </w:p>
        </w:tc>
        <w:tc>
          <w:tcPr>
            <w:tcW w:w="1110"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13</w:t>
            </w:r>
          </w:p>
        </w:tc>
        <w:tc>
          <w:tcPr>
            <w:tcW w:w="1336" w:type="dxa"/>
            <w:shd w:val="clear" w:color="auto" w:fill="auto"/>
            <w:vAlign w:val="bottom"/>
          </w:tcPr>
          <w:p w:rsidR="00EF4FD7" w:rsidRPr="00821C92" w:rsidRDefault="00EF4FD7" w:rsidP="00FF690F">
            <w:pPr>
              <w:spacing w:after="0" w:line="240" w:lineRule="auto"/>
              <w:jc w:val="center"/>
              <w:rPr>
                <w:rFonts w:ascii="Cambria" w:eastAsia="Times New Roman" w:hAnsi="Cambria"/>
                <w:bCs/>
                <w:sz w:val="19"/>
                <w:szCs w:val="24"/>
                <w:lang w:eastAsia="lv-LV"/>
              </w:rPr>
            </w:pPr>
            <w:r w:rsidRPr="00821C92">
              <w:rPr>
                <w:rFonts w:ascii="Cambria" w:eastAsia="Times New Roman" w:hAnsi="Cambria"/>
                <w:bCs/>
                <w:sz w:val="19"/>
                <w:szCs w:val="24"/>
                <w:lang w:eastAsia="lv-LV"/>
              </w:rPr>
              <w:t>14</w:t>
            </w:r>
          </w:p>
        </w:tc>
      </w:tr>
      <w:tr w:rsidR="00EF4FD7" w:rsidRPr="00821C92" w:rsidTr="00FF690F">
        <w:trPr>
          <w:trHeight w:val="227"/>
        </w:trPr>
        <w:tc>
          <w:tcPr>
            <w:tcW w:w="152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804"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09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110"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33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r>
      <w:tr w:rsidR="00EF4FD7" w:rsidRPr="00821C92" w:rsidTr="00FF690F">
        <w:trPr>
          <w:trHeight w:val="227"/>
        </w:trPr>
        <w:tc>
          <w:tcPr>
            <w:tcW w:w="152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804"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09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110"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c>
          <w:tcPr>
            <w:tcW w:w="133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4"/>
                <w:lang w:eastAsia="lv-LV"/>
              </w:rPr>
            </w:pPr>
          </w:p>
        </w:tc>
      </w:tr>
      <w:tr w:rsidR="00EF4FD7" w:rsidRPr="00821C92" w:rsidTr="00FF690F">
        <w:trPr>
          <w:trHeight w:val="227"/>
        </w:trPr>
        <w:tc>
          <w:tcPr>
            <w:tcW w:w="152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804"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2"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403"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109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1110"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c>
          <w:tcPr>
            <w:tcW w:w="1336" w:type="dxa"/>
            <w:shd w:val="clear" w:color="auto" w:fill="auto"/>
            <w:vAlign w:val="bottom"/>
          </w:tcPr>
          <w:p w:rsidR="00EF4FD7" w:rsidRPr="00821C92" w:rsidRDefault="00EF4FD7" w:rsidP="00FF690F">
            <w:pPr>
              <w:spacing w:after="0" w:line="240" w:lineRule="auto"/>
              <w:jc w:val="center"/>
              <w:rPr>
                <w:rFonts w:ascii="Cambria" w:eastAsia="Times New Roman" w:hAnsi="Cambria"/>
                <w:b/>
                <w:bCs/>
                <w:sz w:val="19"/>
                <w:szCs w:val="20"/>
                <w:lang w:eastAsia="lv-LV"/>
              </w:rPr>
            </w:pPr>
          </w:p>
        </w:tc>
      </w:tr>
    </w:tbl>
    <w:p w:rsidR="00EF4FD7" w:rsidRPr="00821C92" w:rsidRDefault="00EF4FD7" w:rsidP="00EF4FD7">
      <w:pPr>
        <w:spacing w:before="130" w:after="0" w:line="260" w:lineRule="exact"/>
        <w:ind w:firstLine="539"/>
        <w:jc w:val="center"/>
        <w:rPr>
          <w:rFonts w:ascii="Cambria" w:eastAsia="Times New Roman" w:hAnsi="Cambria"/>
          <w:b/>
          <w:bCs/>
          <w:sz w:val="19"/>
          <w:szCs w:val="20"/>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141"/>
        <w:gridCol w:w="1281"/>
        <w:gridCol w:w="2169"/>
        <w:gridCol w:w="3715"/>
      </w:tblGrid>
      <w:tr w:rsidR="00EF4FD7" w:rsidRPr="00821C92" w:rsidTr="00FF690F">
        <w:tc>
          <w:tcPr>
            <w:tcW w:w="1203" w:type="dxa"/>
            <w:shd w:val="clear" w:color="auto" w:fill="auto"/>
          </w:tcPr>
          <w:p w:rsidR="00EF4FD7" w:rsidRPr="00821C92" w:rsidRDefault="00EF4FD7" w:rsidP="00FF690F">
            <w:pPr>
              <w:spacing w:after="0" w:line="240" w:lineRule="auto"/>
              <w:rPr>
                <w:rFonts w:ascii="Cambria" w:hAnsi="Cambria"/>
                <w:sz w:val="19"/>
                <w:szCs w:val="24"/>
              </w:rPr>
            </w:pPr>
            <w:r w:rsidRPr="00821C92">
              <w:rPr>
                <w:rFonts w:ascii="Cambria" w:hAnsi="Cambria"/>
                <w:sz w:val="19"/>
                <w:szCs w:val="24"/>
              </w:rPr>
              <w:t>Datums*</w:t>
            </w:r>
          </w:p>
        </w:tc>
        <w:tc>
          <w:tcPr>
            <w:tcW w:w="1486" w:type="dxa"/>
            <w:tcBorders>
              <w:bottom w:val="single" w:sz="4" w:space="0" w:color="auto"/>
            </w:tcBorders>
            <w:shd w:val="clear" w:color="auto" w:fill="auto"/>
          </w:tcPr>
          <w:p w:rsidR="00EF4FD7" w:rsidRPr="00821C92" w:rsidRDefault="00EF4FD7" w:rsidP="00FF690F">
            <w:pPr>
              <w:spacing w:after="0" w:line="240" w:lineRule="auto"/>
              <w:rPr>
                <w:rFonts w:ascii="Cambria" w:hAnsi="Cambria"/>
                <w:sz w:val="19"/>
                <w:szCs w:val="24"/>
              </w:rPr>
            </w:pPr>
          </w:p>
        </w:tc>
        <w:tc>
          <w:tcPr>
            <w:tcW w:w="2319" w:type="dxa"/>
            <w:shd w:val="clear" w:color="auto" w:fill="auto"/>
          </w:tcPr>
          <w:p w:rsidR="00EF4FD7" w:rsidRPr="00821C92" w:rsidRDefault="00EF4FD7" w:rsidP="00FF690F">
            <w:pPr>
              <w:spacing w:after="0" w:line="240" w:lineRule="auto"/>
              <w:jc w:val="center"/>
              <w:rPr>
                <w:rFonts w:ascii="Cambria" w:hAnsi="Cambria"/>
                <w:sz w:val="19"/>
                <w:szCs w:val="24"/>
              </w:rPr>
            </w:pPr>
            <w:r w:rsidRPr="00821C92">
              <w:rPr>
                <w:rFonts w:ascii="Cambria" w:hAnsi="Cambria"/>
                <w:sz w:val="19"/>
                <w:szCs w:val="24"/>
              </w:rPr>
              <w:t>Inventarizāciju veica</w:t>
            </w:r>
          </w:p>
        </w:tc>
        <w:tc>
          <w:tcPr>
            <w:tcW w:w="4201" w:type="dxa"/>
            <w:tcBorders>
              <w:bottom w:val="single" w:sz="4" w:space="0" w:color="auto"/>
            </w:tcBorders>
            <w:shd w:val="clear" w:color="auto" w:fill="auto"/>
          </w:tcPr>
          <w:p w:rsidR="00EF4FD7" w:rsidRPr="00821C92" w:rsidRDefault="00EF4FD7" w:rsidP="00FF690F">
            <w:pPr>
              <w:spacing w:after="0" w:line="240" w:lineRule="auto"/>
              <w:rPr>
                <w:rFonts w:ascii="Cambria" w:hAnsi="Cambria"/>
                <w:sz w:val="19"/>
              </w:rPr>
            </w:pPr>
          </w:p>
        </w:tc>
      </w:tr>
      <w:tr w:rsidR="00EF4FD7" w:rsidRPr="00821C92" w:rsidTr="00FF690F">
        <w:tc>
          <w:tcPr>
            <w:tcW w:w="1203" w:type="dxa"/>
            <w:shd w:val="clear" w:color="auto" w:fill="auto"/>
          </w:tcPr>
          <w:p w:rsidR="00EF4FD7" w:rsidRPr="00821C92" w:rsidRDefault="00EF4FD7" w:rsidP="00FF690F">
            <w:pPr>
              <w:spacing w:after="0" w:line="240" w:lineRule="auto"/>
              <w:rPr>
                <w:rFonts w:ascii="Cambria" w:hAnsi="Cambria"/>
                <w:sz w:val="17"/>
                <w:szCs w:val="17"/>
              </w:rPr>
            </w:pPr>
          </w:p>
        </w:tc>
        <w:tc>
          <w:tcPr>
            <w:tcW w:w="1486" w:type="dxa"/>
            <w:tcBorders>
              <w:top w:val="single" w:sz="4" w:space="0" w:color="auto"/>
            </w:tcBorders>
            <w:shd w:val="clear" w:color="auto" w:fill="auto"/>
          </w:tcPr>
          <w:p w:rsidR="00EF4FD7" w:rsidRPr="00821C92" w:rsidRDefault="00EF4FD7" w:rsidP="00FF690F">
            <w:pPr>
              <w:spacing w:after="0" w:line="240" w:lineRule="auto"/>
              <w:rPr>
                <w:rFonts w:ascii="Cambria" w:hAnsi="Cambria"/>
                <w:sz w:val="17"/>
                <w:szCs w:val="17"/>
              </w:rPr>
            </w:pPr>
          </w:p>
        </w:tc>
        <w:tc>
          <w:tcPr>
            <w:tcW w:w="2319" w:type="dxa"/>
            <w:shd w:val="clear" w:color="auto" w:fill="auto"/>
          </w:tcPr>
          <w:p w:rsidR="00EF4FD7" w:rsidRPr="00821C92" w:rsidRDefault="00EF4FD7" w:rsidP="00FF690F">
            <w:pPr>
              <w:spacing w:after="0" w:line="240" w:lineRule="auto"/>
              <w:rPr>
                <w:rFonts w:ascii="Cambria" w:hAnsi="Cambria"/>
                <w:sz w:val="17"/>
                <w:szCs w:val="17"/>
              </w:rPr>
            </w:pPr>
          </w:p>
        </w:tc>
        <w:tc>
          <w:tcPr>
            <w:tcW w:w="4201" w:type="dxa"/>
            <w:tcBorders>
              <w:top w:val="single" w:sz="4" w:space="0" w:color="auto"/>
            </w:tcBorders>
            <w:shd w:val="clear" w:color="auto" w:fill="auto"/>
          </w:tcPr>
          <w:p w:rsidR="00EF4FD7" w:rsidRPr="00821C92" w:rsidRDefault="00EF4FD7" w:rsidP="00FF690F">
            <w:pPr>
              <w:spacing w:after="0" w:line="240" w:lineRule="auto"/>
              <w:jc w:val="center"/>
              <w:rPr>
                <w:rFonts w:ascii="Cambria" w:hAnsi="Cambria"/>
                <w:sz w:val="17"/>
                <w:szCs w:val="17"/>
              </w:rPr>
            </w:pPr>
            <w:r w:rsidRPr="00821C92">
              <w:rPr>
                <w:rFonts w:ascii="Cambria" w:hAnsi="Cambria"/>
                <w:sz w:val="17"/>
                <w:szCs w:val="17"/>
              </w:rPr>
              <w:t>(vārds, uzvārds, paraksts*)</w:t>
            </w:r>
          </w:p>
        </w:tc>
      </w:tr>
    </w:tbl>
    <w:p w:rsidR="00EF4FD7" w:rsidRPr="00821C92" w:rsidRDefault="00EF4FD7" w:rsidP="00EF4FD7">
      <w:pPr>
        <w:spacing w:before="130" w:after="0" w:line="260" w:lineRule="exact"/>
        <w:ind w:firstLine="539"/>
        <w:rPr>
          <w:rFonts w:ascii="Cambria" w:hAnsi="Cambria"/>
          <w:sz w:val="19"/>
          <w:szCs w:val="20"/>
        </w:rPr>
      </w:pPr>
    </w:p>
    <w:p w:rsidR="00EF4FD7" w:rsidRPr="00821C92" w:rsidRDefault="00EF4FD7" w:rsidP="00EF4FD7">
      <w:pPr>
        <w:spacing w:before="130" w:after="0" w:line="260" w:lineRule="exact"/>
        <w:ind w:firstLine="539"/>
        <w:rPr>
          <w:rFonts w:ascii="Cambria" w:eastAsia="Times New Roman" w:hAnsi="Cambria"/>
          <w:sz w:val="17"/>
          <w:szCs w:val="17"/>
          <w:lang w:eastAsia="lv-LV"/>
        </w:rPr>
      </w:pPr>
      <w:r w:rsidRPr="00821C92">
        <w:rPr>
          <w:rFonts w:ascii="Cambria" w:eastAsia="Times New Roman" w:hAnsi="Cambria"/>
          <w:sz w:val="17"/>
          <w:szCs w:val="17"/>
          <w:lang w:eastAsia="lv-LV"/>
        </w:rPr>
        <w:t>Piezīmes.</w:t>
      </w:r>
    </w:p>
    <w:p w:rsidR="00EF4FD7" w:rsidRPr="00821C92" w:rsidRDefault="00EF4FD7" w:rsidP="00EF4FD7">
      <w:pPr>
        <w:spacing w:before="130" w:after="0" w:line="260" w:lineRule="exact"/>
        <w:ind w:firstLine="539"/>
        <w:jc w:val="both"/>
        <w:rPr>
          <w:rFonts w:ascii="Cambria" w:eastAsia="Times New Roman" w:hAnsi="Cambria"/>
          <w:sz w:val="17"/>
          <w:szCs w:val="17"/>
          <w:lang w:eastAsia="lv-LV"/>
        </w:rPr>
      </w:pPr>
      <w:r w:rsidRPr="00821C92">
        <w:rPr>
          <w:rFonts w:ascii="Cambria" w:eastAsia="Times New Roman" w:hAnsi="Cambria"/>
          <w:sz w:val="17"/>
          <w:szCs w:val="17"/>
          <w:lang w:eastAsia="lv-LV"/>
        </w:rPr>
        <w:t>1. Tabulas 3., 4., 5., 6., 7., 8., 9., 10. un 11. ailē atkarībā no meliorācijas sistēmas konkrētās būves tehniskā stāvokļa vispārējā novērtējuma (Ministru kabineta 2019. gada 26. marta noteikumu Nr. 128 "Meliorācijas kadastra noteikumi" 6. un 7. pielikums) būves labu tehnisko stāvokli atzīmē ar "+", bet sliktu tehnisko stāvokli – ar "–".</w:t>
      </w:r>
    </w:p>
    <w:p w:rsidR="00EF4FD7" w:rsidRPr="00821C92" w:rsidRDefault="00EF4FD7" w:rsidP="00EF4FD7">
      <w:pPr>
        <w:spacing w:before="130" w:after="0" w:line="260" w:lineRule="exact"/>
        <w:ind w:firstLine="539"/>
        <w:jc w:val="both"/>
        <w:rPr>
          <w:rFonts w:ascii="Cambria" w:eastAsia="Times New Roman" w:hAnsi="Cambria"/>
          <w:sz w:val="17"/>
          <w:szCs w:val="17"/>
          <w:lang w:eastAsia="lv-LV"/>
        </w:rPr>
      </w:pPr>
      <w:r w:rsidRPr="00821C92">
        <w:rPr>
          <w:rFonts w:ascii="Cambria" w:eastAsia="Times New Roman" w:hAnsi="Cambria"/>
          <w:sz w:val="17"/>
          <w:szCs w:val="17"/>
          <w:lang w:eastAsia="lv-LV"/>
        </w:rPr>
        <w:t>2. Meliorācijas sistēmas darbību novērtē kā atbilstošu, ja nosusināšanas sistēmas darbība nodrošina attiecīgā zemes lietošanas veida hidromelioratīvo stāvokli un ūdens līmeņa uzstādināšanas būves spēj papildināt augsnes mitruma krājumus augu veģetācijas periodā.</w:t>
      </w:r>
    </w:p>
    <w:p w:rsidR="00EF4FD7" w:rsidRPr="00821C92" w:rsidRDefault="00EF4FD7" w:rsidP="00EF4FD7">
      <w:pPr>
        <w:spacing w:before="130" w:after="0" w:line="260" w:lineRule="exact"/>
        <w:ind w:firstLine="539"/>
        <w:jc w:val="both"/>
        <w:rPr>
          <w:rFonts w:ascii="Cambria" w:eastAsia="Times New Roman" w:hAnsi="Cambria"/>
          <w:sz w:val="17"/>
          <w:szCs w:val="17"/>
          <w:lang w:eastAsia="lv-LV"/>
        </w:rPr>
      </w:pPr>
      <w:r w:rsidRPr="00821C92">
        <w:rPr>
          <w:rFonts w:ascii="Cambria" w:eastAsia="Times New Roman" w:hAnsi="Cambria"/>
          <w:sz w:val="17"/>
          <w:szCs w:val="17"/>
          <w:lang w:eastAsia="lv-LV"/>
        </w:rPr>
        <w:t>3. Meliorācijas sistēmas darbību novērtē kā neatbilstošu, ja nosusināšanas sistēmas darbība ir traucēta vai pārtraukta, nenodrošina attiecīgā zemes lietošanas veida hidromelioratīvo stāvokli un ar ūdens līmeņa regulēšanas būvju darbināšanu nav iespējams papildināt augsnes mitruma krājumus augu veģetācijas periodā.</w:t>
      </w:r>
    </w:p>
    <w:p w:rsidR="00EF4FD7" w:rsidRPr="00821C92" w:rsidRDefault="00EF4FD7" w:rsidP="00EF4FD7">
      <w:pPr>
        <w:spacing w:before="130" w:after="0" w:line="260" w:lineRule="exact"/>
        <w:ind w:firstLine="539"/>
        <w:jc w:val="both"/>
        <w:rPr>
          <w:rFonts w:ascii="Cambria" w:eastAsia="Times New Roman" w:hAnsi="Cambria"/>
          <w:sz w:val="17"/>
          <w:szCs w:val="17"/>
          <w:lang w:eastAsia="lv-LV"/>
        </w:rPr>
      </w:pPr>
      <w:r w:rsidRPr="00821C92">
        <w:rPr>
          <w:rFonts w:ascii="Cambria" w:eastAsia="Times New Roman" w:hAnsi="Cambria"/>
          <w:sz w:val="17"/>
          <w:szCs w:val="17"/>
          <w:lang w:eastAsia="lv-LV"/>
        </w:rPr>
        <w:t>4. * Dokumenta rekvizītus "datums" un "paraksts" neaizpilda, ja elektroniskais dokuments ir sagatavots atbilstoši normatīvajiem aktiem par elektronisko dokumentu noformēšanu.</w:t>
      </w:r>
    </w:p>
    <w:p w:rsidR="00D82A21" w:rsidRPr="00EF4FD7" w:rsidRDefault="00D82A21" w:rsidP="00EF4FD7">
      <w:bookmarkStart w:id="0" w:name="_GoBack"/>
      <w:bookmarkEnd w:id="0"/>
    </w:p>
    <w:sectPr w:rsidR="00D82A21" w:rsidRPr="00EF4F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BD2"/>
    <w:rsid w:val="00231BD2"/>
    <w:rsid w:val="0038557D"/>
    <w:rsid w:val="00873667"/>
    <w:rsid w:val="00915066"/>
    <w:rsid w:val="00A0444B"/>
    <w:rsid w:val="00D82A21"/>
    <w:rsid w:val="00EF4F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5DA58-3449-429F-82BA-51A65671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BD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1BD2"/>
    <w:pPr>
      <w:ind w:left="720"/>
      <w:contextualSpacing/>
    </w:pPr>
  </w:style>
  <w:style w:type="paragraph" w:styleId="NoSpacing">
    <w:name w:val="No Spacing"/>
    <w:uiPriority w:val="1"/>
    <w:qFormat/>
    <w:rsid w:val="00A0444B"/>
    <w:pPr>
      <w:spacing w:after="0" w:line="240" w:lineRule="auto"/>
    </w:pPr>
    <w:rPr>
      <w:rFonts w:ascii="Calibri" w:eastAsia="Calibri" w:hAnsi="Calibri" w:cs="Times New Roman"/>
    </w:rPr>
  </w:style>
  <w:style w:type="paragraph" w:customStyle="1" w:styleId="naisf">
    <w:name w:val="naisf"/>
    <w:basedOn w:val="Normal"/>
    <w:rsid w:val="0038557D"/>
    <w:pPr>
      <w:spacing w:before="75" w:after="75" w:line="240" w:lineRule="auto"/>
      <w:ind w:firstLine="375"/>
      <w:jc w:val="both"/>
    </w:pPr>
    <w:rPr>
      <w:rFonts w:ascii="Times New Roman" w:eastAsia="Times New Roman" w:hAnsi="Times New Roman"/>
      <w:sz w:val="24"/>
      <w:szCs w:val="24"/>
      <w:lang w:eastAsia="lv-LV"/>
    </w:rPr>
  </w:style>
  <w:style w:type="paragraph" w:customStyle="1" w:styleId="tvhtml">
    <w:name w:val="tv_html"/>
    <w:basedOn w:val="Normal"/>
    <w:rsid w:val="00915066"/>
    <w:pPr>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1018</Words>
  <Characters>581</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Sējāne</dc:creator>
  <cp:keywords/>
  <dc:description/>
  <cp:lastModifiedBy>Līva Sējāne</cp:lastModifiedBy>
  <cp:revision>2</cp:revision>
  <dcterms:created xsi:type="dcterms:W3CDTF">2019-03-28T14:26:00Z</dcterms:created>
  <dcterms:modified xsi:type="dcterms:W3CDTF">2019-03-28T14:26:00Z</dcterms:modified>
</cp:coreProperties>
</file>