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februāra noteikumos Nr. 111 "Attālināto mācību organizēšanas un īstenošanas kārtība" (Latvijas Vēstnesis, 2022, 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4.3.8.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4.3.9.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vai tās daļu var īstenot daļēji vai pilnā apjomā attālināti atbilstoši izglītības programmai, izņemot praksi un profesionālās kvalifikācijas eksāmenu, ko organizē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pamatizglītības pakāpē, vidējās izglītības pakāpē un augstākās izglītības pakāpē profesionālās pilnveides izglītības programmā klātienē īstenojamo daļu nosaka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organizētu attālinātās mācības šo noteikumu 4.3., 4.5. un 4.6. apakšpunktā minētajās izglītības pakāpēs, izglītības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mācību priekšmetu (kursu) stundu (nodarbību) sarakstā norāda attālināto mācību ietvaros plānotās stundas (nodarbības);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kārtību, kādā izglītības iestāde apzina, vai izglītojamiem ir pieejami tehniskie līdzekļi attālināto mācību procesa nodrošināšanai, kā arī minēto tehnisko līdzekļu nodrošināšanas kārtību, ja izglītojamiem tie nav pieejami;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kārtību, kādā tiek uzskaitīta izglītojamo dalība attālinātajās mācībās un uzdoto uzdevumu izpilde;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rīcību gadījumā, ja izglītojamā dalība attālinātajās mācībās nav iespējama vai ir traucēta tehnisku iemeslu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7.3.4. 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7.3.5. kārtību, kādā izglītojamie attālinātajās mācībās izmanto izglītības iestādes resursus un infrastruktūru (piemēram, telpas, bibliotēku);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7.3.6. rīcību gadījumā, ja tiek konstatēta vardarbība vai ir aizdomas par vardarbību pret izglītojamo."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Šo noteikumu 4.3.1., 4.3.2., 4.3.3., 4.3.4., 4.3.5., 4.3.6. un 4.3.7. apakšpunktā minētajās izglītības programmās mācību gada laikā attālinātās mācības var īstenot: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vismaz divās no šādām izglītības programmas sastāvdaļām – mācību priekšmetos (kursos), moduļos un kvalifikācijas praksēs;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līdz 30 procentiem no mācību priekšmetam (kursam), modulim un kvalifikācijas praksei noteiktā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Izglītības iestādes līdz 2023. gada 31. jūlijam papildina iekšējos normatīvos aktos par attālināto mācību īstenošanu un atbilstoši šo noteikumu 7.3.6. apakšpunktam norāda rīcību gadījumā, ja attālināto mācību laikā tiek konstatēta vardarbība pret izglītojamo vai ir aizdomas par vardarbību pret izglītojamo."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22-TA-1947</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22-TA-1947</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noteikumu_(grozījumu)_projekts_22-TA-1947.docx</dc:title>
</cp:coreProperties>
</file>

<file path=docProps/custom.xml><?xml version="1.0" encoding="utf-8"?>
<Properties xmlns="http://schemas.openxmlformats.org/officeDocument/2006/custom-properties" xmlns:vt="http://schemas.openxmlformats.org/officeDocument/2006/docPropsVTypes"/>
</file>