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otrās kārtas pieteikumu vērtēšanā vai atbalsta sniegšanā komersantam.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patieso labuma guvēju likuma "Par interešu konflikta novēršanu valsts amatpersonu darbībā" izpratnē un Eiropas Parlamenta un Padomes 2024. gada 23. septembra Regulas (ES, Euratom) 2024/2509 par finanšu noteikumiem, ko piemēro Savienības vispārējam budžetam (pārstrādāta redakcija), 61. panta izpratnē un neesmu piedalījies(-usies) vērtējamo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konkrētā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kuru dēļ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informēšu pieteikumu komisijas priekšsēdētāju vai priekšsēdētāja vietnieku, vai finansējuma saņēmēja administratīvo vadītāju, ja radīsies apstākļi, kuru dēļ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Izskatot saņemtos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pieteikumus, kā arī apņemos izmantot pieejamo informāciju un dokumentus tikai projektu vērtēšanai un lēmuma pieņemšanai par tiem. Apņemos nepaturēt un nenodot trešajām personām jebkādu rakstisku vai elektronisku informāciju par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minētos nosacījumus,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24-TA-1424</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24-TA-1424</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noteikumu_projekts_p3_24-TA-1424.docx</dc:title>
</cp:coreProperties>
</file>

<file path=docProps/custom.xml><?xml version="1.0" encoding="utf-8"?>
<Properties xmlns="http://schemas.openxmlformats.org/officeDocument/2006/custom-properties" xmlns:vt="http://schemas.openxmlformats.org/officeDocument/2006/docPropsVTypes"/>
</file>