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pasākuma pirmās kārtas ietvaros paredzēts biedrībām, kas pārstāv šādu nozaru komersantus: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Apstrādes rūpniecība (saskaņā ar NACE 2.1. red. C sadaļu) un šādas apstrādes rūpniecības apakšnozares: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kokrūpniecība;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mašīnbūve un metālapstrāde;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elektrisko un optisko iekārtu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ķīmiskā 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pārtikas un dzērienu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būvindustrija;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vieglā 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papīra ražošana un poligrāfija.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Informācijas un komunikācijas tehnoloģiju nozare (ierobežojumus nosaka saskaņā ar NACE 2.1. red. J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Izmitināšanas un ēdināšanas pakalpojumi (ierobežojumus nosaka saskaņā ar NACE 2.1. red. I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Finanšu un apdrošināšanas darbības (ierobežojumus nosaka saskaņā ar NACE 2.1. red. K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Profesionālie, zinātniskie un tehniskie pakalpojumi (ierobežojumus nosaka saskaņā ar NACE 2.1. red. M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Administratīvo un apkalpojošo dienestu darbība (ierobežojumus nosaka saskaņā ar NACE 2.1. red. N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Energoapgāde un telekomunikācija (ierobežojumus nosaka saskaņā ar NACE 2.1. red. D un J sadaļu).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