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mācību jomas un programmu kopas saskaņā ar normatīvajiem aktiem par Latvijas izglītības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kārtā ir atbalstāmas šādas 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214 Dizains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345 20 Projektu vadība</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48 482 Datoru lietošana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623 Mežsaimniecība</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722 Veselības aprūpes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811 Viesnīcu un restorānu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840 04 Starptautisko pārvadājumu organizācija</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85 Vides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22 227 Valodu studijas un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345 15 Ēdināšanas un viesnīcu komercdarbība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345 16 Viesnīcu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17 Tūrisma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812 Tūrisma un atpūtas organizācija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izmitināšanas un ēdināšanas pakalpojumu nozarē (arī NACE 2.1. red. 55.00, 56.00, 74.90, 77.39, 79.11, 79.12, 79.90, 82.30, 90.04, 93.21 un 93.29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noteikumu_konsolidētā_versija_p2_25-TA-15.docx</dc:title>
</cp:coreProperties>
</file>

<file path=docProps/custom.xml><?xml version="1.0" encoding="utf-8"?>
<Properties xmlns="http://schemas.openxmlformats.org/officeDocument/2006/custom-properties" xmlns:vt="http://schemas.openxmlformats.org/officeDocument/2006/docPropsVTypes"/>
</file>