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26. oktobrī (prot. Nr. 54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decembra rīkojumā Nr. 780 "Par informācijas sabiedrības attīstības pamatnostādņu ieviešanu publiskās pārvaldes informācijas sistēmu jomā (mērķarhitektūras 4.0.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decembra rīkojumā Nr. 780 "Par informācijas sabiedrības attīstības pamatnostādņu ieviešanu publiskās pārvaldes informācijas sistēmu jomā (mērķarhitektūras 4.0. versija)" (Latvijas Vēstnesis, 2016,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Apstiprināt un iekļaut informācijas un komunikācijas tehnoloģiju mērķarhitektūras 4.0. versijā projekta "Kultūras mantojuma satura digitalizācija (1. kārta)" (turpmāk – projekts) aprakstu un digitalizācijas projekta izmaksas 7 823 226,00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Atbalstīt informācijas un komunikācijas tehnoloģiju mērķarhitektūras 4.0. versijā iekļautā projekta konsolidēto aprakstu (kopsavilkumu).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22-TA-1884</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22-TA-1884</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rīkojuma_(grozījumu)_projekts_22-TA-1884.docx</dc:title>
</cp:coreProperties>
</file>

<file path=docProps/custom.xml><?xml version="1.0" encoding="utf-8"?>
<Properties xmlns="http://schemas.openxmlformats.org/officeDocument/2006/custom-properties" xmlns:vt="http://schemas.openxmlformats.org/officeDocument/2006/docPropsVTypes"/>
</file>