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19. 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983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Izlietotā iepakojuma un dažādu iepakojuma materiālu veidu reģenerācijas (tai skaitā pārstrādes) mērķi un to izpildes termiņi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Izlietotā iepakojuma un dažādu iepakojuma veidu reģenerācijas (tai skaitā pārstrādes) mērķi un to izpildes</w:t>
      </w:r>
      <w:r w:rsidR="00000000" w:rsidRPr="00000000" w:rsidDel="00000000">
        <w:rPr>
          <w:vertAlign w:val="superscript"/>
          <w:rtl w:val="0"/>
        </w:rPr>
        <w:t xml:space="preserve">1</w:t>
      </w:r>
      <w:r w:rsidR="00000000" w:rsidRPr="00000000" w:rsidDel="00000000">
        <w:rPr>
          <w:b w:val="1"/>
          <w:rtl w:val="0"/>
        </w:rPr>
        <w:t xml:space="preserve"> termiņi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3389"/>
        <w:gridCol w:w="3389"/>
        <w:gridCol w:w="1664"/>
        <w:gridCol w:w="1664"/>
        <w:gridCol w:w="1664"/>
        <w:gridCol w:w="1664"/>
        <w:gridCol w:w="1664"/>
        <w:gridCol w:w="1664"/>
        <w:gridCol w:w="1664"/>
        <w:gridCol w:w="1664"/>
        <w:tblGridChange w:id="0">
          <w:tblGrid>
            <w:gridCol w:w="514"/>
            <w:gridCol w:w="2047"/>
            <w:gridCol w:w="3389"/>
            <w:gridCol w:w="3389"/>
            <w:gridCol w:w="1664"/>
            <w:gridCol w:w="1664"/>
            <w:gridCol w:w="1664"/>
            <w:gridCol w:w="1664"/>
            <w:gridCol w:w="1664"/>
            <w:gridCol w:w="1664"/>
            <w:gridCol w:w="1664"/>
            <w:gridCol w:w="166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2020. gada 1. janvāra līdz 2022. gada 31. decembrim (apjoms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2023. gada 1. janvāra līdz 2023. gada 31. decembrim pārstrādāts (apjoms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2024. gada 31. decembrim pārstrādāts (apjoms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2025. gada 1. janvāra līdz 2025. gada 31. decembrim pārstrādāts (apjoms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2026. gada 31. decembrim pārstrādāts (apjoms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2027. gada 1. janvāra līdz 2027. gada 31. decembrim pārstrādāts (apjoms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2028. gada 1. janvāra līdz 2028. gada 31. decembrim pārstrādāts (apjoms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 līdz 2029. gada 31. decembrim pārstrādāts (apjoms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2030. gada 1. janvāra  pārstrādāts </w:t>
            </w:r>
            <w:r>
              <w:tab/>
            </w:r>
            <w:r>
              <w:br/>
            </w:r>
            <w:r w:rsidR="00000000" w:rsidRPr="00000000" w:rsidDel="00000000">
              <w:rPr>
                <w:rtl w:val="0"/>
              </w:rPr>
              <w:t xml:space="preserve">(apjoms (īpatsvars)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reģenerēts (tai skaitā 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melnais 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Iepakotājam un iepakojuma apsaimniekotājam par periodu, kurā attiecīgi iepakotājam vai iepakojuma apsaimniekotāja līgumpartneriem bija piešķirts atbrīvojums no dabas resursu nodokļa samaksas par iepakojumu, izlietotā iepakojuma un dažādu iepakojuma materiāla veidu pārstrādes un reģenerācijas apjomi ir noteikti normatīvajos aktos par atbrīvojuma piemērošanu no dabas resursu nodokļa samaksas par iepakojumu un vienreiz lietojamiem galda traukiem un piederumiem.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Konkrētā iepakojuma materiāla veida reģenerācijas (pārstrādes) normu izpildi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konkrētā izlietotā iepakojuma materiāla veida reģenerētais (pārstrādātais) iepakojuma apjoms (%) = (konkrētā izlietotā iepakojuma materiāla veida iepakotāja vai iepakojuma apsaimniekotāja reģenerētais (C) iepakojuma daudzums (kg) : kopējais iepakotāja vai iepakojuma apsaimniekotāja līgumpartneru radītā izlietotā konkrētā iepakojuma materiāla veida daudzums (kg)) x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Kopējo reģenerācijas (pārstrādes) normu izpildi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kopējais reģenerētais (pārstrādātais) izlietotā iepakojuma apjoms (%) = (kopējais iepakotāja vai iepakojuma apsaimniekotāja reģenerētais izlietotā iepakojuma daudzums (kg) : kopējais iepakotāja vai iepakojuma apsaimniekotāja līgumpartneru radītā izlietotā iepakojuma daudzums (kg)) x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Izlietotā iepakojuma pārstrādes aprēķinpunkti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6934"/>
        <w:tblGridChange w:id="0">
          <w:tblGrid>
            <w:gridCol w:w="514"/>
            <w:gridCol w:w="1952"/>
            <w:gridCol w:w="69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Iepakojuma materiāla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Aprēķinpunkts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Šķirots stikls, kas netiek tālāk apstrādāts pirms nonākšanas kausēšanas krāsnī vai pirms nonākšanas filtrēšanas materiālu, abrazīvo materiālu, stikla šķiedras izolācijas materiālu vai būvmateriālu ražošanā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Šķirots metāls, kas netiek tālāk apstrādāts pirms nonākšanas kausētavā vai krāsnī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Šķirots papīrs, kas netiek tālāk apstrādāts pirms nonākšanas pulpas ieguves operācijās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polimēru sastāva šķirota plastmasa, kas netiek tālāk apstrādāta pirms nonākšanas granulēšanas, ekstrūzijas vai formēšanas operācijās.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pārslas, kas netiek tālāk apstrādātas pirms to izmantošanas galaproduktā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Šķirots koks, kas netiek tālāk apstrādāts pirms izmantošanas koka skaidu plātņu vai citu produktu ražošanā. Šķirots koks, kas nonāk kompostēšanā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Kompozīta iepakojums un no vairākiem materiāliem sastāvošs iepakojums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 stikls, metāls, koks, papīrs/kartons un citi materiāli, kas iegūti, apstrādājot kompozīta iepakojumu vai no vairākiem materiāliem sastāvošu iepakojumu, un netiek tālāk apstrādāti pirms konkrētajam materiālam noteikto aprēķinpunktu sasniegšanas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Tekstilmateriāli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Šķiroti tekstilmateriāli, kas netiek tālāk apstrādāti pirms izmantošanas tekstilšķiedru, lupatu vai granulātu ražošanā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22-TA-2753</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22-TA-2753</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noteikumu_(grozījumu)_projekts_p_22-TA-2753.docx</dc:title>
</cp:coreProperties>
</file>

<file path=docProps/custom.xml><?xml version="1.0" encoding="utf-8"?>
<Properties xmlns="http://schemas.openxmlformats.org/officeDocument/2006/custom-properties" xmlns:vt="http://schemas.openxmlformats.org/officeDocument/2006/docPropsVTypes"/>
</file>