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Ieguldījumu pārvaldes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2024, 120A., 193.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stratēģija un informācijas drošības politika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13. panta pirmo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nodrošina tīklu un informācijas sistēmu atbilstoši Regulas Nr. 2022/2554 un Finanšu tirgus digitālās darbības noturības un mākslīgā intelekta izmantošanas likuma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71.</w:t>
      </w:r>
      <w:r w:rsidR="00000000" w:rsidRPr="00000000" w:rsidDel="00000000">
        <w:rPr>
          <w:vertAlign w:val="superscript"/>
          <w:rtl w:val="0"/>
        </w:rPr>
        <w:t xml:space="preserve">4</w:t>
      </w:r>
      <w:r w:rsidR="00000000" w:rsidRPr="00000000" w:rsidDel="00000000">
        <w:rPr>
          <w:rtl w:val="0"/>
        </w:rPr>
        <w:t xml:space="preserve"> panta septīto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vienošanās saturu nosaka Latvijas Banka."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un skaitļus "Eiropas Komisijas 2010.gada 1.jūlija regulas Nr. 584/2010, ar ko īsteno Eiropas Parlamenta un Padomes direktīvu 2009/65/EK attiecībā uz tipveida paziņojuma vēstules un apliecinājuma par PVKIU formu un saturu, elektroniskās saziņas izmantošanu starp kompetentajām iestādēm paziņošanas nolūkos un kārtību, kādā veicamas pārbaudes uz vietas un izmeklēšana, kā arī informācijas apmaiņa starp kompetentajām iestādēm, (turpmāk – Eiropas Komisijas regula Nr. 584/2010)" ar vārdiem un skaitļiem "Eiropas Komisijas 2023. gada 15. decembra īstenošanas regulas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 (turpmāk – Eiropas Komisijas regula Nr. 2024/910)";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skaitļus un vārdu "584/2010 2. pielikumam" ar skaitļiem un vārdu "2024/910 6. pielikumam".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skaitļus un vārdu "584/2010 2. pielikumam" ar skaitļiem un vārdu "2024/910 6.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2. punktā skaitļus "584/2010" ar skaitļiem "2024/910";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Latvijas Banka nosaka citās dalībvalstīs reģistrēto (dibināto) atvērto ieguldījumu fondu ieguldījumu apliecību izplatīšanas kārtību Latvijā."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87.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minēto soda naudu ieskaita valsts pamatbudžetā."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informatīvo atsauci uz Eiropas Savienības direktīvām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Parlamenta un Padomes 2022. gada 14. decembra direktīvas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24-TA-2433</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24-TA-2433</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likumprojekts_(grozījumi)_24-TA-2433.docx</dc:title>
</cp:coreProperties>
</file>

<file path=docProps/custom.xml><?xml version="1.0" encoding="utf-8"?>
<Properties xmlns="http://schemas.openxmlformats.org/officeDocument/2006/custom-properties" xmlns:vt="http://schemas.openxmlformats.org/officeDocument/2006/docPropsVTypes"/>
</file>