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nekustamajiem īpašumiem, kas nepieciešami objektu attīstībai publiskajā – privātajā partnerībā"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no šī informatīvā ziņojuma izskatīšanas dienas sešu mēnešu laikā sniegt Ministru kabinetam informāciju par PPP projekta īstenošanai nepieciešamo nekustamo īpašumu pārņemšanas un atsavināšanas progresu.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26-TA-730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