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martā (prot. Nr. 10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8. februāra noteikumos Nr. 111 "Attālināto mācību organizēšanas un īstenošanas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 panta 45.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8. februāra noteikumos Nr. 111 "Attālināto mācību organizēšanas un īstenošanas kārtība" (Latvijas Vēstnesis, 2022, 29. nr.; 2023, 85.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attālinātās mācības organizē saskaņā ar normatīvo aktu, kas nosaka kārtību, kādā nodrošināma izglītojamo profilaktiskā veselības aprūpe, pirmā palīdzība un drošība izglītības iestādēs un to organizētajos pasākumos, uz to organizēšanu un īstenošanu ir attiecināms šo noteikumu 3. un 6. punktā, kā arī 7.2. un 7.3. apakšpunktā noteiktais regulējums."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23-TA-2518</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23-TA-2518</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noteikumu_(grozījumu)_projekts_23-TA-2518.docx</dc:title>
</cp:coreProperties>
</file>

<file path=docProps/custom.xml><?xml version="1.0" encoding="utf-8"?>
<Properties xmlns="http://schemas.openxmlformats.org/officeDocument/2006/custom-properties" xmlns:vt="http://schemas.openxmlformats.org/officeDocument/2006/docPropsVTypes"/>
</file>