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(turpmāk – reforma) 1.1.1.1.i. investīcijas "Konkurētspējīgs dzelzceļa pasažieru transports kopējā Rīgas pilsētas sabiedriskā transporta sistēmā" 1.1.1.1.i.1., 1.1.1.1.i.2. un 1.1.1.1.i.3. saistītos pasākumus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pasažieru infrastruktūru, izbūvējot Rīgas Centrālās dzelzceļa stacijas dienvidu daļu, kā arī uzlabot valsts bezemisiju publiskās lietošanas dzelzceļa infrastruktūru, modernizējot dzelzceļa elektrificēto tīklu līnijās Rīga–Zemitāni–Šķirotava un Rīga–Sloka un attīstot līniju Zasulauks–Bolderāja, lai veicinātu iedzīvotāju pārvietošanās paradumu maiņu un samazinātu sabiedriskā transporta negatīvo ietekmi uz vidi.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Investīciju īsteno šādu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finansējuma saņēmējs ir valsts akciju sabiedrība "Latvijas dzelzceļš";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finansējuma saņēmējs ir sabiedrība ar ierobežotu atbildību "EIROPAS DZELZCEĻA LĪNIJAS".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pirmās projektu iesniegumu atlases kārtas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augustam sasniedzamais mērķis: izveidoto elektrificēto dzelzceļa līniju un modernizēto esošo dzelzceļa līniju garums pasažieru pārvadāšanai – 100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otrās projektu iesniegumu atlases kārtas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augustam sasniedzamais atskaites punkts: izbūvēta Rīgas Centrālās dzelzceļa stacijas dienvidu 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martam sasniedzamais atskaites punkts: parakstīti visi iepirkuma līgumi.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pirmās projektu iesniegumu atlases kārtas ietvaros pieejamais Atveseļošanas fonda finansējums ir 72 700 000 </w:t>
      </w:r>
      <w:r w:rsidR="00000000" w:rsidRPr="00000000" w:rsidDel="00000000">
        <w:rPr>
          <w:i w:val="1"/>
          <w:rtl w:val="0"/>
        </w:rPr>
        <w:t xml:space="preserve">euro</w:t>
      </w:r>
      <w:r w:rsidR="00000000" w:rsidRPr="00000000" w:rsidDel="00000000">
        <w:rPr>
          <w:rtl w:val="0"/>
        </w:rPr>
        <w:t xml:space="preserve">, kas tiek piešķirts granta veidā, sasniedzot investīcijas mērķi 100 %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otrās projektu iesniegumu atlases kārtas ietvaros pieejamais Atveseļošanas fonda finansējums ir 114 627 980 </w:t>
      </w:r>
      <w:r w:rsidR="00000000" w:rsidRPr="00000000" w:rsidDel="00000000">
        <w:rPr>
          <w:i w:val="1"/>
          <w:rtl w:val="0"/>
        </w:rPr>
        <w:t xml:space="preserve">euro</w:t>
      </w:r>
      <w:r w:rsidR="00000000" w:rsidRPr="00000000" w:rsidDel="00000000">
        <w:rPr>
          <w:rtl w:val="0"/>
        </w:rPr>
        <w:t xml:space="preserve">, kas tiek piešķirts granta veidā, sasniedzot investīcijas mērķi 100 %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pirmās projektu iesniegumu atlases kārtas izdevumu attiecināmības termiņš ir 2026. gada 31. augusts.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otrās projektu iesniegumu atlases kārtas izdevumu attiecināmības termiņš ir 2026. gada 20. decembris.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18.02.2025. noteikumiem Nr. 110)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 kā nozares ministrija ir atbildīga par investīcijas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(turpmāk – aģentūra) slēdz  līgumu par projekta īstenošanu ar finansējuma saņēmēju  (turpmāk – līgums) un piešķir investīcijas atbalstu saskaņā ar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atbilstoši Ministru kabineta 2021. gada 7. septembra noteikumiem Nr. 621 "Eiropas Savienības Atveseļošanas un noturības mehānisma plāna īstenošanas un uzraudzības kārtība" (turpmāk – noteikumi Nr. 621) nodrošina investīcijas īstenošanas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 nodrošina komunikācijas un publicitātes pasākumus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34. pantu un </w:t>
      </w:r>
      <w:r w:rsidR="00000000" w:rsidRPr="00000000" w:rsidDel="00000000">
        <w:rPr>
          <w:rtl w:val="0"/>
        </w:rPr>
        <w:t xml:space="preserve">Eiropas Komisijas un Latvijas Republikas Atveseļošanas fonda finansēšanas nolīguma</w:t>
      </w:r>
      <w:r w:rsidR="00000000" w:rsidRPr="00000000" w:rsidDel="00000000">
        <w:rPr>
          <w:rtl w:val="0"/>
        </w:rPr>
        <w:t xml:space="preserve"> 10.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ietvaros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uzlabošana;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elektrifikācija un ar to saistītās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minētās atbalstāmās darbības ietver šādas attiecināmo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būvniecības, pārbūves  un atjaunošanas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izbūves, pārbūves un nomaiņas izmaksas, nodrošinot priekšnosacījumus migrācijai uz 25 kV elektrifikācijas sistēmu;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elektrificēto līniju kopgaruma palielināšanas izmaksas, elektrificēto sliežu ceļu posmu izbūves un staciju sliežu ceļu plānu uzlabojumu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rekonstrukcija un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esošo vilcienu kustības sistēmu un signalizācijas sistēmu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dzelzceļa pārvadu un tiltu pārbūve, kontakttīkla būvniecība vai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staciju un staciju ēku būvniecības izmaksas, tai skaitā sliežu ceļu plāna uzlabojumu, pasažieru platformu pārbūves, pasažieru apkalpošanas infrastruktūras, drošu divlīmeņu šķērsojumu un piekļuves platformām izbūves izmaksas un piegulošās teritorijas labiekārtošanas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jomā, tostarp ietekmes uz vidi novērtējuma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 risinājumam;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Atveseļošanas fonda vizuālās identitātes obligāto prasību nodrošināšanu un komunikācijas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izdevumi, kas radušies pārvadātājam, sniedzot sabiedriskā transporta pakalpojumus reģionālās nozīmes dzelzceļa maršrutos, kuros infrastruktūras izmantošanas ierobežojumu dēļ pārvadājumi ar vilcienu tiek pilnībā vai daļēji aizstāti ar autobusu pārvadājumiem. Pārvadātāja izdevumi tiek aprēķināti, reizinot viena kilometra izmaksas ar faktisko nobraukumu, kuru veic autobuss. Pārvadātāja izdevumi tiek apmaksāti, pamatojoties uz pārvadātāja izrakstīto 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Otrās projektu iesniegumu atlases kārtas ietvaros papildus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noteiktajām izmaksām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dzelzceļa transporta mezgla būvniecības un pārbūves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būvlaukuma ierīkošanas, uzturēšanas un demontāžas izmaksas, tai skaitā uzturēšanas un būvdarbu organizēšanas izmaksas, kas izriet no būvdarbu līguma un ir nepieciešamas, lai nodrošinātu Rīgas Centrālās dzelzceļa stacijas dienvidu daļas pabeigšanu atbilstoši tehniskajā risinājumā noteiktajam apjomam;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būvju aizsardzības izmaksas, kas nepieciešamas, lai izbūvējamā vai pārbūvējamā dzelzceļa transporta mezglu varētu pabeigt atbilstoši tehniskajā risinājumā noteiktajam apjomam;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izmaksas, kas ir tieši saistītas ar izbūvējamā vai pārbūvējamā dzelzceļa transporta mezgla pabeigšanu atbilstoši tehniskajā risinājumā noteiktajam apjomam;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būvdarbu līgumcenas indeksācijas izmaksas atbilstoši noslēgtā līguma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pārprojektēšanas un būvprojekta ekspertīzes izmaksas, lai nodrošinātu atbilstoša tehniskā risinājuma izstrādi;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iepirkumu līgumu izmaksas, tai skaitā šo noteikumu </w:t>
      </w:r>
      <w:r w:rsidR="00000000" w:rsidRPr="00000000" w:rsidDel="00000000">
        <w:rPr>
          <w:rtl w:val="0"/>
        </w:rPr>
        <w:t xml:space="preserve">12.3.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tiek piesaistīts uz iepirkuma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juridisko pakalpojumu izmaksas, kas tieši saistītas ar projekta sagatavošanu, īstenošanu un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Pirmās projektu iesniegumu atlases kārtas ietvaros ir attiecināmas projekta vadības personāla izmaksas, kuras plāno kā vienu izmaksu pozīciju, piemērojot vienoto izmaksu likmi, ņemot vērā, ka tās nepārsniedz 0,8 %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kopējām investīcijas izmaksām, neiekļaujot projekta vadības un īstenošanas personāla atlīdzības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Otrās projektu iesniegumu atlases kārtas ietvaros ir attiecināmas projekta vadības un īstenošanas personāla izmaksas, kuras plāno kā vienu izmaksu pozīciju, ņemot vērā, ka tās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finansējuma saņēmējam – 1,55 %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kopējām investīcijas izmaksām, neiekļaujot projekta vadības un īstenošanas personāla atlīdzības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sadarbības partnerim – 0,50 %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kopējām investīcijas izmaksām, neiekļaujot projekta vadības un īstenošanas personāla atlīdzības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izmaksu pozīcijām nav attiecināmas no Atveseļošanas fonda finansējuma. Pirmās projektu iesniegumu atlases kārtas ietvaros pievienotās vērtības nodokļa izmaksas finansējuma saņēmējs sedz no privātajiem finanšu līdzekļiem, bet otrās projektu iesniegumu atlases kārtas ietvaros – no valsts budžeta finanšu līdzekļiem, ja tās nav atgūstamas saskaņā ar nacionālajiem tiesību aktiem pievienotās vērtības nodokļa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ietvaros radušās izmaksas var uzskatīt par attiecināmām finansēšanai no Atveseļošanas fonda, ja līguma noslēgšanas brīdī darbības nav pabeigtas, tās atbilst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noteiktajām atbalstāmajām darbībām un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punktā noteiktajām attiecināmo izmaksu pozīcijām un pirmās projektu iesniegumu atlases kārtas ietvaros izmaksas ir radušās, sākot ar 2020. gada 1. februāri, bet otrās projektu iesniegumu atlases kārtas ietvaros – finansējuma saņēmējam, sākot ar 2024. gada 18. decembri, savukārt sadarbības partnerim, sākot ar dienu, kad finansējuma saņēmējs noslēdzis līgumu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Prasības finansējuma saņēmējam un sadarbības partnerim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Investīciju otrās projektu iesniegumu atlases kārtas īstenošanai sabiedrība ar ierobežotu atbildību "EIROPAS DZELZCEĻA LĪNIJAS" kā finansējuma saņēmējs piesaista valsts akciju sabiedrību "Latvijas dzelzceļš" kā sadarbības partneri, lai īstenotu projektu par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norādīto finansējumu, noslēdzot sadarbības līgumu. Sadarbības līgumā nosaka savstarpējo atbildību, funkcijas un pienākumus projekta sekmīgai īstenošanai,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pienākumus, tiesības un atbildību;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pieprasīšanas un iesniegšanas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uzturēšanas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akciju sabiedrība "Latvijas dzelzceļš" kā sadarbības partneris veic izbūvējamās infrastruktūras īpašnieka un pārvaldnieka funkcijas. Valsts akciju sabiedrība "Latvijas dzelzceļš" ir tehnisko noteikumu izdevējs un saskaņā ar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sadarbības līgumu sniedz priekšlikumus sabiedrībai ar ierobežotu atbildību "EIROPAS DZELZCEĻA LĪNIJAS" par būvniecības līguma vadību un tehniskajiem risinājumiem, kas ietekmē valsts akciju sabiedrības "Latvijas dzelzceļš" infrastruktūru, tai skaitā par būvniecības risinājumu funkcionālo savietojamību ar esošo dzelzceļa infrastruktūru.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finansējuma saņēmējs un sadarbības partneris pirms līguma noslēgšanas ar aģentūru iesniedz sadarbības iestādē ar sadarbības partneri noslēgtu sadarbības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Finansējuma saņēmējs ir atbildīgs par sadarbības partnera pienākumu un funkciju izpildi projekta īstenošanā un sadarbības partnera īstenotajām funkcijām projektā, tai skaitā novēršot dubultā finansējuma risku un nodrošinot demarkāciju ar citiem līdzīgiem vai saistītiem pasākumiem.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ieviešanas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īstenotais projekts, tai skaitā īstenotās atbalstāmās darbības, ir sasaistītas un veicina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minētās investīcijas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2. panta 6. punktu, ievērojot principa "nenodarīt būtisku kaitējumu"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bezemisiju dzelzceļa infrastruktūras attīstību saistītās infrastruktūras pielāgošana un izveide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infrastruktūras uzlabojumi ietver dzelzceļa tīkla elektrifikācijas sistēmas uzlabošanu, nodrošinot priekšnosacījumus migrācijai no 3.3 kV sistēmas uz 25 kV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Atbalstu finansējuma saņēmējam nesniedz, ja tas atrodas kādā no Eiropas Parlamenta un Padomes 2024. gada 23. septembra Regulas (ES, Euratom) 2024/2509 par finanšu noteikumiem, ko piemēro Savienības vispārējam budžetam (pārstrādāta redakcija) (turpmāk – </w:t>
      </w:r>
      <w:r w:rsidR="00000000" w:rsidRPr="00000000" w:rsidDel="00000000">
        <w:rPr>
          <w:rtl w:val="0"/>
        </w:rPr>
        <w:t xml:space="preserve">regula Nr. 2024/2509</w:t>
      </w:r>
      <w:r w:rsidR="00000000" w:rsidRPr="00000000" w:rsidDel="00000000">
        <w:rPr>
          <w:rtl w:val="0"/>
        </w:rPr>
        <w:t xml:space="preserve">), 138. pantā "Izslēgšanas kritēriji un lēmumi par izslēgšanu" noteiktajām izslēgšanas situācijām.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īstenošanai nepieciešamo informāciju iesniedz Kohēzijas politikas fondu vadības informācijas sistēmā (turpmāk – Vadības informācijas sistēma).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Satiksmes ministrija 10 darbdienu laikā pēc šo noteikumu stāšanās spēkā pirmās projektu iesniegumu atlases kārtas ietvaros nosūta finansējuma saņēmējam uzaicinājumu iesniegt projekta iesniegumu Satiksmes ministrijas noteiktajā termiņā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pēc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 uzaicinājuma saņemšanas iesniedz projekta iesniegumu atbilstoši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noteiktajai kārtībai, pievienojot projekta iesniegumam izmaksu un ieguvumu analīzi un apliecinājumu, ka finansējuma saņēmējs neatrodas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noteiktajās izslēgšanas situācijās.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Satiksmes ministrija pēc finansējuma saņēmēja projekta iesnieguma saņemšanas organizē iesniegtā projekta pārbaudi atbilstoši šiem noteikumiem un, ja nepieciešams, lūdz finansējuma saņēmēju papildināt un precizēt iesniegto informāciju, nosakot termiņus precizējumu un papildinājumu iesniegšanai. Finansējuma saņēmējs precizējumus var veikt, līdz projekta iesniegums atbilst visām izvirzītajām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pārbaudes ietvaros Satiksmes ministrija lūdz aģentūrai sniegt tās rīcībā esošo informāciju,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neatrodas </w:t>
      </w:r>
      <w:r w:rsidR="00000000" w:rsidRPr="00000000" w:rsidDel="00000000">
        <w:rPr>
          <w:rtl w:val="0"/>
        </w:rPr>
        <w:t xml:space="preserve">regulas Nr. 2024/2509</w:t>
      </w:r>
      <w:r w:rsidR="00000000" w:rsidRPr="00000000" w:rsidDel="00000000">
        <w:rPr>
          <w:rtl w:val="0"/>
        </w:rPr>
        <w:t xml:space="preserve"> 138. pantā "Izslēgšanas kritēriji un lēmumi par izslēgšanu" noteiktajās izslēgšanas situācijās;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Latvijas Republikā nav nodokļu  un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 Satiksmes ministrija informē aģentūru par atļauju uzsākt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līguma slēgšanas procesu.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par investīcijas īstenošanu tiek iekļauta vismaz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sasniedzamais mērķis un uzraudzības rādītājs;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tai skaitā pušu pienākumi un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sadarbības nosacījumi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īstenošanai nepieciešamais finansējums un korektīvo darbību veikšanas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avansa, tostarp noslēdzošā avansa, un starpposma maksājumu saņemšanas nosacījumi, tai skaitā minēto maksājumu apjoms un to izmaksāšanas kārtība un termiņi, kādā jāsasniedz projekta mērķis, izmantojot saņemto avansu;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iepirkumu plāns un tā iesniegšanas, precizēšanas un grozījumu veikšanas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sagatavots un pilnībā aizpildīts projekta iesniegums;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apliecinās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investīcijas mērķa un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īstenošanu saistīto dokumentu glabāšanas termiņi;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apliecinājums,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Vadības informācijas sistēmā ievadāmo datu apjoms, datu ievades regularitāte, atbildības sadalījums un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rādītāju sasniegšanu pamatojošo dokumentu augšupielādes apjoms un regularitāte.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ir pienākums pēc līguma noslēgšanas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 iesniegt: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maksājuma pieprasījumu iesniegšanas grafiku, kurā norāda maksājuma pieprasījuma veidu (avanss, tostarp noslēdzošais avanss, starpposma maksājums), maksājuma apmēru un pieprasīšanas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ieviešanai plānotajiem iepirkumiem, kuru rīkošanai paredzēts piemērot Sabiedrisko pakalpojumu sniedzēju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Kārtību, kādā investīcijas ietvaros tiek veikti maksājumi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noteiktajam finansējuma saņēmējam, un nosacījumus maksājuma dokumentu pārbaudēm nosaka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tai skaitā ņemot vērā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ir pieejami vairāki avansa un starpposma maksājumi, kas kopsummā veido 100 %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Viena avansa maksājuma apmērs nepārsniedz 30 %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Finansējuma saņēmējam avanss ir jāapgūst sešu mēnešu laikā saimnieciskā gada ietvaros, iesniedzot avansa maksājumu pieprasījumus piešķirtās avansa summas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avansa maksājumus, paredzot, ka nākamo avansu var saņemt pēc tam, kad iepriekšējais avanss ir pilnībā apgūts;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noslēdzošais avansa maksājums projektā nav mazāks par 10 %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un var tikt veikts līdz 2026.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28.4.</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piešķir atbalstu un veic uzraudzību atbilstoši </w:t>
      </w:r>
      <w:r w:rsidR="00000000" w:rsidRPr="00000000" w:rsidDel="00000000">
        <w:rPr>
          <w:rtl w:val="0"/>
        </w:rPr>
        <w:t xml:space="preserve">noteikumiem Nr. 621</w:t>
      </w:r>
      <w:r w:rsidR="00000000" w:rsidRPr="00000000" w:rsidDel="00000000">
        <w:rPr>
          <w:rtl w:val="0"/>
        </w:rPr>
        <w:t xml:space="preserve">,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kā finansējuma saņēmējs ievēro līgumā noteiktās prasības. Ja aģentūra konstatē, ka minētās prasības netiek ievērotas, tā pret finansējuma saņēmēju veic attiecīgas korektīvās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finansējuma saņēmējam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noteiktajā kārtībā,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kontrolē investīcijai pieejamo finansējumu, nepieļaujot investīcijas īstenošanai noteiktās summas pārsniegšanu;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ietvaros sagatavo valsts budžeta pieprasījumus atbilstoši Likumam par budžetu un finanšu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izlases veidā veic pārbaudes par interešu konfliktu, krāpšanu un korupciju, kā arī dubultā finansējuma riska novēršanas pārbaudes, pārbaudes projekta īstenošanas vietā, projekta ieviešanas progresa un sasniegto rādītāju pārbaudes un datu ticamības pārbaudes atbilstoši </w:t>
      </w:r>
      <w:r w:rsidR="00000000" w:rsidRPr="00000000" w:rsidDel="00000000">
        <w:rPr>
          <w:rtl w:val="0"/>
        </w:rPr>
        <w:t xml:space="preserve">noteikumu Nr. 621</w:t>
      </w:r>
      <w:r w:rsidR="00000000" w:rsidRPr="00000000" w:rsidDel="00000000">
        <w:rPr>
          <w:rtl w:val="0"/>
        </w:rPr>
        <w:t xml:space="preserve"> 9.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izmaksāto līdzekļu atgūšanu 100 % apmērā no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kopējām investīcijas izmaksām, ja veiktajās pārbaudēs tiek konstatēts interešu konflikts, krāpšana un korupcija vai dubultais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saņēmēja pienākums ir īstenot projektu atbilstoši </w:t>
      </w:r>
      <w:r w:rsidR="00000000" w:rsidRPr="00000000" w:rsidDel="00000000">
        <w:rPr>
          <w:rtl w:val="0"/>
        </w:rPr>
        <w:t xml:space="preserve">noteikumiem Nr. 621</w:t>
      </w:r>
      <w:r w:rsidR="00000000" w:rsidRPr="00000000" w:rsidDel="00000000">
        <w:rPr>
          <w:rtl w:val="0"/>
        </w:rPr>
        <w:t xml:space="preserve"> un nodrošināt investīcijas ietvaros piešķirtā finansējuma izlietošanu atbilstoši līguma nosacījumiem,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 projekts, tai skaitā īstenotās atbalstāmās darbības, ir sasaistē un veicina reformas sasniegšanu, ņemot vērā šo noteikumu </w:t>
      </w:r>
      <w:r w:rsidR="00000000" w:rsidRPr="00000000" w:rsidDel="00000000">
        <w:rPr>
          <w:rtl w:val="0"/>
        </w:rPr>
        <w:t xml:space="preserve">17.</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investīcijas mērķa sasniegšanu 100 % apmērā laika grafikā noteiktajā termiņā saskaņā ar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kā arī nodrošināt piekļuvi ar projekta īstenošanu saistītajai informācijai un spēt to uzrādīt Eiropas Komisijas un Latvijas Republikas Atveseļošanas un noturības mehānisma finansēšanas nolīgumā minētajām iestādēm un revīzijas iestādei;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projekta ietvaros darbības tiek īstenotas, ievērojot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datu ievadi Vadības informācijas sistēmā progresa pusgada ziņojuma un maksājuma pieprasījuma informācijas sagatavošanai atbilstoši </w:t>
      </w:r>
      <w:r w:rsidR="00000000" w:rsidRPr="00000000" w:rsidDel="00000000">
        <w:rPr>
          <w:rtl w:val="0"/>
        </w:rPr>
        <w:t xml:space="preserve">regulas Nr. 2021/241</w:t>
      </w:r>
      <w:r w:rsidR="00000000" w:rsidRPr="00000000" w:rsidDel="00000000">
        <w:rPr>
          <w:rtl w:val="0"/>
        </w:rPr>
        <w:t xml:space="preserve"> 22. un 27. pantam;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līgumu noteiktā kārtībā atmaksāt investīcijas īstenošanas ietvaros piešķirto finansējumu, ja tas nav izlietots atbilstoši līgumā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ka infrastruktūras izbūve paredzēta zemesgabalā, kas ir finansējuma saņēmēja vai sadarbības partnera īpašumā vai valdījumā, vai arī būvniecības iecere ir saskaņota ar zemesgabala īpašnieku, ievērojot </w:t>
      </w:r>
      <w:r w:rsidR="00000000" w:rsidRPr="00000000" w:rsidDel="00000000">
        <w:rPr>
          <w:rtl w:val="0"/>
        </w:rPr>
        <w:t xml:space="preserve">Būvniecības likumā</w:t>
      </w:r>
      <w:r w:rsidR="00000000" w:rsidRPr="00000000" w:rsidDel="00000000">
        <w:rPr>
          <w:rtl w:val="0"/>
        </w:rPr>
        <w:t xml:space="preserve">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projekta rezultātu ilgtspēju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korupcijas un krāpšanas novēršanas nosacījumu ievērošanu, kā arī interešu konflikta un dubultā finansējuma riska novēršanu;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sniegt Eiropas Komisijas un Latvijas Republikas Atveseļošanas un noturības mehānisma finansēšanas nolīgumā minētajām iestādēm un revīzijas iestādei visu nepieciešamo informāciju  saistībā ar projekta īstenošanu un projekta mērķu sasniegšanu, nodrošināt datu un informācijas pieejamību, kā arī nodrošināt savlaicīgu datu ievadi un uzkrāšanu Vadības informācijas sistēmā par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ietvaros projektu īsteno saskaņā ar līgumu, bet ne ilgāk kā līdz 2026.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pirmās atlases kārtas ietvaros līdz 2026. gada 30. septembrim iesniedz Vadības informācijas sistēmā projekta mērķa sasniegšanu pamatojošo projekta noslēguma dokumentāciju,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par izbūvētās un pārbūvētās dzelzceļa infrastruktūras nodošanu ekspluatācijā un investīcijas projekta mērķu un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un piegādes līgumus un to izdevumus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rēķinus un citus veiktos maksājumus apliecinošos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pieņemšanas un nodošanas aktus;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bankas garantijas vai apdrošināšanas polises,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pamatojošos dokumentus, kas apliecina projekta mērķu un rādītāju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otrās atlases kārtas ietvaros līdz 2026. gada 4. septembrim par darbiem, kas veikti līdz 2026. gada 31. augustam, iesniedz Vadības informācijas sistēmā Starptautiskās Inženierkonsultācijas konfederācijas (</w:t>
      </w:r>
      <w:r w:rsidR="00000000" w:rsidRPr="00000000" w:rsidDel="00000000">
        <w:rPr>
          <w:i w:val="1"/>
          <w:rtl w:val="0"/>
        </w:rPr>
        <w:t xml:space="preserve">Federation Internationale des Ingeneurs – Conseils</w:t>
      </w:r>
      <w:r w:rsidR="00000000" w:rsidRPr="00000000" w:rsidDel="00000000">
        <w:rPr>
          <w:rtl w:val="0"/>
        </w:rPr>
        <w:t xml:space="preserve"> (FIDIC)) inženiera atzinumu, kas apliecina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atskaites punkta sasniegšanu. Satiksmes ministrijas un aģentūras pārvaldības deklarācijas iesniegšanas gala termiņš Finanšu ministrijā ir 2026. gada 15. septembris.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otrās atlases kārtas ietvaros par darbiem, kas veikti līdz 2026. gada 31. augustam, līdz 2026. gada 20. decembrim iesniedz Vadības informācijas sistēmā projekta mērķa sasniegšanu pamatojošo projekta noslēguma dokumentāciju, kas apliecina izmaksu pamatotību (rēķinus un citus veiktos maksājumus apliecinošos dokumentus). Noslēguma progresa pārskatā iekļauj izdevumus, kas radušies līdz projekta izdevumu attiecināmības perioda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 veic projekta noslēguma dokumentācijas pārbaudi un apstiprina izdevumus šādos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norādītajam finansējuma saņēmējam – līdz 2026.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norādītajam finansējuma saņēmējam – līdz 2027. gada 15. februārim.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aģentūra, veicot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projekta noslēguma dokumentācijas pārbaudi, konstatē neatbilstošus izdevumus, finansējuma saņēmējs tos atmaksā atbilstoši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ir vienlīdzīgi un bez diskriminācijas pieejama visiem potenciālajiem lietotājiem un par piekļuvi šai infrastruktūrai tiek noteikta adekvāta samaksa.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ietvaros attīstītajā ar saimniecisko darbību nesaistītajā infrastruktūrā projekta ieviešanas gaitā un uzraudzības periodā, kas atbilst pamatlīdzekļu amortizācijas periodam, ir pieļaujams sniegt parastos papildpakalpojumus. Ar parastajiem papildpakalpojumiem saprot tādus ar saimniecisko darbību nesaistītās infrastruktūras pakalpojumus, kurus galvenokārt izmanto ar saimniecisko darbību nesaistītās infrastruktūras apmeklētāji un kuriem nebūs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dubultfinansējuma riska mazināšanai.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glabā investīcijas īstenošanas dokumentāciju vismaz piecus gadus pēc noslēguma maksājuma veikšanas dalībvalstij un nodrošina, ka dokumentācija ir pieejama Atveseļošanas fonda investīciju administrēšanā iesaistītajām institūcijām.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Aģentūrai investīcijas ietvaros ir tiesības vienpusēji atkāpties no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tai skaitā netiek ievēroti projektā noteiktie termiņi vai ir iestājušies citi apstākļi, kas negatīvi ietekmē vai var ietekmēt investīcijas  mērķa vai noteikto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18.02.2025. noteikumu Nr. 110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Satiksmes ministrija 10 darbdienu laikā pēc šo noteikumu grozījumu par otrās projektu iesniegumu atlases kārtas īstenošanu stāšanās spēkā nosūta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minētajam finansējuma saņēmējam uzaicinājumu iesniegt projekta iesniegumu Satiksmes ministrijas noteiktajā termiņā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Kārtību, kādā investīcijas ietvaros tiek veikti maksājumi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minētajam finansējuma saņēmējam, un nosacījumus maksājuma dokumentu pārbaudēm nosaka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tai skaitā ņemot vērā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ir pieejami vairāki avansa un starpposma maksājumi, kas kopsummā veido 100 %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investīcijas izmaksām. Viena avansa maksājuma apmērs nepārsniedz 30 %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investīcijas izmaksām. Finansējuma saņēmējam avanss ir jāapgūst sešu mēnešu laikā saimnieciskā gada ietvaros, iesniedzot avansa maksājumu pieprasījumus piešķirtās avansa summas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noslēdzošais avansa maksājums projektā nav mazāks par 10 %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investīcijas izmaksām un var tikt veikts līdz 2026. gada 31.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40.3.</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par darbiem un pakalpojumiem, kas veikti līdz 2026. gada 31. augustam, var norēķināties līdz 2026. gada 20.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25-TA-607</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25-TA-607</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noteikumu_konsolidētā_versija_25-TA-607.docx</dc:title>
</cp:coreProperties>
</file>

<file path=docProps/custom.xml><?xml version="1.0" encoding="utf-8"?>
<Properties xmlns="http://schemas.openxmlformats.org/officeDocument/2006/custom-properties" xmlns:vt="http://schemas.openxmlformats.org/officeDocument/2006/docPropsVTypes"/>
</file>