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Ūdens apsaimniekošanas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Ūdens apsaimniekošanas likumā (Latvijas Republikas Saeimas un Ministru Kabineta Ziņotājs, 2002, 20. nr.; 2003, 2. nr.; 2004, 10. nr.; 2005, 5. nr.; 2007, 13. nr.; 2009, 11. nr.; Latvijas Vēstnesis, 2010, 59., 166., 206. nr.; 2011, 46. nr.; 2012, 195. nr.; 2013, 232. nr.; 2016, 241. nr.; 2019, 25. nr.; 2020, 106.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“reģionālā vides pārvalde” (attiecīgā locījumā) ar vārdiem “Valsts vides dienests”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ministrs” (attiecīgā locījumā) ar vārdiem “klimata un enerģētikas ministrs”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13.panta otrajā daļā vārdu "Attiecīgā".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14.panta otrajā un trešajā daļā vārdu "attiecīgā".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25.panta pirmajā daļā vārdus “Vides pārraudzības valsts birojs vai reģionālā vides pārvalde”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dienesta lēmumu par šā likuma 13.panta otrajā daļā un 14.panta trešajā daļā minēto pasākumu noteikšanu, kā arī atļauju var apstrīdēt Valsts vides dienesta ģenerāldirektoram Administratīvā procesa likumā noteiktajā kārtībā. Apstrīdēšana neaptur lēmuma vai atļaujas darbību, ja darbības apturēšana var radīt būtisku negatīvu ietekmi uz vidi un Valsts vides dienests to norādījis savā lēmumā vai 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minēto Valsts vides dienesta ģenerāldirektora lēmumu var pārsūdzēt tiesā Administratīvā procesa likumā noteiktajā kārtībā. Pieteikuma iesniegšana tiesā neaptur lēmuma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pārejas noteikumus ar 26.punktu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Šā likuma 26. panta trešās daļas kārtībā par Valsts vides dienesta pieņemtajiem lēmumiem iesniegtie apstrīdēšanas iesniegumi, kas līdz grozījumu šā likuma 26. panta trešajā daļā par Valsts vides dienesta lēmumu apstrīdēšanas kārtību spēkā stāšanās dienai ir iesniegti un kuru izskatīšana ir uzsākta, pārņem Valsts vides dienesta ģenerāldirektors.”.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25-TA-1313</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25-TA-1313</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likumprojekts_(grozījumi)_25-TA-1313.docx</dc:title>
</cp:coreProperties>
</file>

<file path=docProps/custom.xml><?xml version="1.0" encoding="utf-8"?>
<Properties xmlns="http://schemas.openxmlformats.org/officeDocument/2006/custom-properties" xmlns:vt="http://schemas.openxmlformats.org/officeDocument/2006/docPropsVTypes"/>
</file>