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2.6.1. specifiskā atbalsta mērķa "Veicināt enerģijas starpsavienojumu un saistītās pārvades, sadales, uzglabāšanas un atbalsta infrastruktūras izbūvi, kā arī kritiskās enerģētikas infrastruktūras aizsardzību un uzlādes infrastruktūras izvēršanu" 2.6.1.1. pasākuma "Atjaunīgo energoresursu enerģijas veicināšana - biometāns"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13. un 14.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2021.–2027.gada 2.6.1. specifiskā atbalsta mērķa "Veicināt enerģijas starpsavienojumu un saistītās pārvades, sadales, uzglabāšanas un atbalsta infrastruktūras izbūvi, kā arī kritiskās enerģētikas infrastruktūras aizsardzību un uzlādes infrastruktūras izvēršanu" 2.6.1.1. pasākumu "Atjaunīgo energoresursu enerģijas veicināšana - biometāns"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 attīstības fonda (turpmāk - ERAF)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ietvaros piešķirtais atbalsts nav kvalificējams kā komercdarbības atbalsts Komercdarbības atbalsta kontroles likuma 5. panta izpratnē.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mērķis ir samazināt fosilo energoresursu lomu, palielinot atjaunīgās enerģijas izmantošanu un veicinot energoefektivitāti.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īstenošanas vieta ir Latvijas Republika.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mērķa grupa ir visi Latvijas iedzīvotāji.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Līdz 2029. gada 31. decembrim pasākuma sasniedzamais projekta iznākuma rādītājs un tā vērtība: divu jaunu biometāna ievades punktu izveide.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atbildīgās iestādes funkcijas pilda Klimata un enerģētikas ministrija (turpmāk – atbildīgā iestāde).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īstenošanai plānotais un pieejamais kopējais attiecināmais finansējums ir 4 705 881 </w:t>
      </w:r>
      <w:r w:rsidR="00000000" w:rsidRPr="00000000" w:rsidDel="00000000">
        <w:rPr>
          <w:i w:val="1"/>
          <w:rtl w:val="0"/>
        </w:rPr>
        <w:t xml:space="preserve">euro</w:t>
      </w:r>
      <w:r w:rsidR="00000000" w:rsidRPr="00000000" w:rsidDel="00000000">
        <w:rPr>
          <w:rtl w:val="0"/>
        </w:rPr>
        <w:t xml:space="preserve">, tai skaitā ERAF finansējums –4 000 000 </w:t>
      </w:r>
      <w:r w:rsidR="00000000" w:rsidRPr="00000000" w:rsidDel="00000000">
        <w:rPr>
          <w:i w:val="1"/>
          <w:rtl w:val="0"/>
        </w:rPr>
        <w:t xml:space="preserve">euro </w:t>
      </w:r>
      <w:r w:rsidR="00000000" w:rsidRPr="00000000" w:rsidDel="00000000">
        <w:rPr>
          <w:rtl w:val="0"/>
        </w:rPr>
        <w:t xml:space="preserve">un nacionālais līdzfinansējums, ko nodrošina no valsts budžeta līdzekļiem –  705 881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Attiecināmais ERAF finansējuma apmērs nepārsniedz 85 procentus no projekta kopējā attiecināmā finansējuma, un nacionālais līdzfinansējums ir vismaz 15 procenti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ERAF finansējumu piešķir granta veidā.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pasākuma ietvaros, kas pēc projekta iesnieguma apstiprināšanas kļūst par finansējuma saņēmēju ir akciju sabiedrība "Conexus Baltic Grid".</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var iesniegt vienu vai vairākus projektu iesniegumus par summu, kas nepārsniedz šo noteikumu 8.punktā noteikto finansējumu.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ir atbalstāmas šādas darbības, kas sekmē šo noteikumu 5. punktā minēto uzraudzības rādītāju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biometāna ievades punktu izbūve, visa nepieciešamā tehniskā aprīkojuma nodrošināšana biometāna ievadei saskaņā ar Ministru kabineta 2025. gada 21. janvāra noteikumiem Nr. 50 "Par prasībām biometāna un gāzveida stāvoklī pārvērstas sašķidrinātās dabasgāzes ievadīšanai un transportēšanai dabasgāzes pārvades un sadales sistēmā", kā arī teritorijas labiekārtošanu;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projekta vadības un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tehniskās dokumentācijas sagatavošana;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plāno tiešās un 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 pasākuma plānotās tiešās attiecināmās izmaksas, kas ir saistītas ar šo noteikumu 14. punktā noteikto darbību īstenošanu un projekta mērķa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projekta iesniegumu un īstenošanu saistītās pamatojošās dokumentācijas sagatavošanas izmaksas, kas nav radušās uz darba līguma pamata, kopā nepārsniedzot 10 procentus no projekta kopējām attiecināmajām izmaksām,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par ekspertu konsultācijām, kas nepieciešamas projekta sekmīgai realizācijai, nepārsniedzot piecus procentus no projekta kopējām attiecināmajām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par inženierbūvju, labiekārtojuma elementu un dabā balstīto risinājumu tehnisko specifikāciju, tehnisko projektu vai būvprojektu sagatavošanu (tai skaitā ar būvniecības ieceri un būvprojekta minimālā sastāvā saistīto sagatavošanas darbu), lai pielāgotos klimata pārmaiņām, kā arī būvprojekta ekspertīzes izmaksas, ja ekspertīzes veikšanu nosaka būvniecības jomu regulējošie normatīvie akti;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autoruzraudzības un būvdarbu būvuzraudzības izmaksas, ja to veikšanu nosaka normatīvie akti būvniecības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būvdarbu un pakalpojumu līgumu izmaksas, izņemot šo noteikumu 16.1. apakšpunktā minētās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kas saistītas ar būves nodošanu ekspluatācijā;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 teritorijas labiekārtošanas izmaksas, nepārsniedzot 10 procentus no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komunikācijas un vizuālās identitātes prasību nodrošināšanas izmaksas. Attiecināmajās izmaksās iekļauj tikai obligātās Eiropas Savienības fondu komunikācijas un vizuālās identitātes prasības;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neparedzētie izdevumi, kas nepārsniedz piecus procentus no projekta kopējām attiecināmajām izmaksām un kuru izlietošanu finansējuma saņēmējs saskaņo ar sadarbības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rezerves izmaksas, nepārsniedzot 10 procentus no attiecināmo būvniecības izmaksu kopsummas, ja projektā paredzētas būvniecības darbības un attiecināmajās izmaksās nav iekļauti šo noteikumu 18.6. apakšpunktā minētie neparedzētie izdevumi. Rezerves izmaksu izlietošanu finansējuma saņēmējs saskaņo ar sadarbības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 ja vien tie nav atgūstami saskaņā ar valsts normatīvajiem aktiem pievienotās vērtības nodokļa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tiešās attiecināmās projekta vadības personāla izmaksas, kuras saskaņā ar regulas Nr. 2021/1060 55. panta 1. punktu projekta iesniegumā plāno kā vienu izmaksu pozīciju, piemērojot izmaksu vienoto likmi sešu procentu apmērā no šo noteikumu 16. punktā minētajām pārējām tiešajām attiecināmajām izmaksām, kas nav tiešās attiecināmās personāla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16. punktā minētās projekta netiešās attiecināmās izmaksas ir finansējuma saņēmēja projekta vadības personāla administratīvās izmaksas, kuras plāno kā vienu izmaksu pozīciju, piemērojot netiešo izmaksu vienoto likmi 15 procentu apmērā no šo noteikumu 16.9. apakšpunktā minētajām personāla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Izmaksas ir attiecināmas no 2025.gada 29.maija. Projekta iesniegumā neiekļauj līdz projekta iesnieguma iesniegšanas dienai pabeigtas darbības un finansējumu tām nepiešķir.</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Izmaksas, kas saskaņā ar šiem noteikumiem nav iekļaujamas kā attiecināmās izmaksas, ir finansējamas ārpus projekta.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Sadarbības iestāde, ja tai ir pieejami valsts budžeta līdzekļi, izvērtējot plānotā avansa apmēru un tā pamatojumu un pamatojoties uz finansējuma saņēmēja rakstisku avansa pieprasījumu, var piešķirt finansējuma saņēmējam avansu pēc civiltiesiskā līguma noslēgšanas. Finansējuma saņēmējs avansa pieprasījumu sagatavo un sadarbības iestāde apstiprina, ņemot vērā nosacījumu, ka plānotā avansa apmērs atbilst spējai to izlietot sešu mēnešu laikā no tā izmaksas dienas. Finansējuma saņēmējam avansu var piešķirt līdz 50 procentiem no projektam piešķirtā Kohēzijas fonda finansējuma, ievērojot, ka avansu var izmaksāt vairākos maksājumos un avansa un starpposma maksājumu kopsumma nepārsniedz 90 procentus no projektam piešķirtā Kohēzijas fonda finansējuma.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pasākuma ietvaros projektus īsteno ne vēlāk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Īstenojot projektus pasākuma ietvaros,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un sniedz informāciju sadarbības iestādei par projektā sasniegto šo noteikumu 5. punktā minētajiem uzraudzības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izpilda attiecināmās prasības un nodrošina, ka projekts atbilst principiem "Nenodarīt būtisku kaitējumu" un "Klimatdrošināšana" un Eiropas Savienības kohēzijas politikas programmā 2021.–2027. gadam noteiktajiem Eiropas Savienības un Latvijas Republikas normatīvajiem aktiem vides aizsardzības un klimata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lai pasākuma ietvaros attiecināmās izmaksas nepārklātos ar citiem valsts un ārvalstu finanšu atbalsta instrumentiem un novērš dubultā finansējuma risku;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sasniegto rezultātu ilgtspēju vismaz piecus gadus pēc projekta pabeigšanas;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komunikācijas un vizuālās identitātes prasību pasākumus saskaņā ar Regulas Nr.2021/1060 47. un 50. pantu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izstrādā vai izmanto jau esošu iekšējās kontroles sistēmu, ietverot tajā informāciju par interešu konflikta, krāpšanas, korupcijas risku un dubultā finansējuma novēršanas mehānismu;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glabā projekta dokumentāciju un nodrošina tās pieejamību visā projekta īstenošanas laikā un uzraudzības periodā, kas nepārsniedz piecus gadus pēc pēdējā noslēguma maksājuma veikšanas finansējuma saņēmējam.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interešu konflikta neesamību saskaņā ar Eiropas Parlamenta un Padomes 2024. gada 23. septembra Regulas (ES, Euratom) 2024/2509 par finanšu noteikumiem, ko piemēro Savienības vispārējam budžetam (pārstrādāta redakcija), 61. pantu un normatīvajiem aktiem publisko iepirkumu jomā, kā arī paraksta interešu konflikta neesamības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Finansējuma saņēmējs projekta īstenošanai nepieciešamās preces un pakalpojumus iegādājas saskaņā ar normatīvajiem aktiem publisko iepirkumu jomā, īstenojot atklātu, pārredzamu, nediskriminējošu un konkurenci nodrošinošu konkursa procedūru. Atbalstāma ir vides prasību integrācija preču un pakalpojumu iepirkumos, kā arī vides piekļūstamības un izmantojamības nodrošināšana – zaļais publiskais iepirkums. Kur tas ir attiecināms un atbilstošs ieguldījumu specifikai, var īstenot sociāli atbildīgu iepirkumu, kā arī piemērot inovatīvā publiskā iepirkuma nosacījumus (ja attiecināms).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25-TA-1670</w:t>
    </w:r>
    <w:r>
      <w:br/>
    </w:r>
    <w:r w:rsidR="00000000" w:rsidRPr="00000000" w:rsidDel="00000000">
      <w:rPr>
        <w:rtl w:val="0"/>
      </w:rPr>
      <w:t xml:space="preserve">Izdrukāts 29.07.2026. 21.18 - 1.0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25-TA-1670</w:t>
    </w:r>
    <w:r>
      <w:br/>
    </w:r>
    <w:r w:rsidR="00000000" w:rsidRPr="00000000" w:rsidDel="00000000">
      <w:rPr>
        <w:rtl w:val="0"/>
      </w:rPr>
      <w:t xml:space="preserve">Izdrukāts 29.07.2026. 21.18 - 1.0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noteikumu_projekts_25-TA-1670.docx</dc:title>
</cp:coreProperties>
</file>

<file path=docProps/custom.xml><?xml version="1.0" encoding="utf-8"?>
<Properties xmlns="http://schemas.openxmlformats.org/officeDocument/2006/custom-properties" xmlns:vt="http://schemas.openxmlformats.org/officeDocument/2006/docPropsVTypes"/>
</file>