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Pabalsts mājsaimniecības inventāra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pabalstu mājsaimniecības inventāra iegādei šādā apmērā: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1089"/>
        <w:tblGridChange w:id="0">
          <w:tblGrid>
            <w:gridCol w:w="514"/>
            <w:gridCol w:w="7796"/>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Pabalsta apmērs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13. un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 ranga aizsardzības atašejs, nozares padomnieks, konsulāta vadītājs, konsulārās nodaļas vadītājs, nodaļas vadītājs, informācijas sistēmu administrators, sakaru virsnieks, vecāko virsnieku sastāva karavīrs, 2. ranga aizsardzības atašejs, 3. ranga aizsardzības atašejs,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atašejs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otrais sekretārs, vicekonsuls, kancelejas nodaļas vadītājs, trešais sekretārs, aizsardzības atašeja palīgs, atašejs, grāmatvedis, kancelejas nodaļas vadītāja vietnieks, speciālists, informācijas sistēmas uzturētājs, vecākais referents, jaunāko virsnieku un instruktoru sastāva karavīrs, mājas pārvaldnieks, loģistikas speciālists, valsts tiešās pārvaldes amatpersona, kuras amats atbilst 6., 7., 8., 9., 10. vai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kareivju sastāva karavīrs,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noteikumu_konsolidētā_versija_p3_22-TA-2972.docx</dc:title>
</cp:coreProperties>
</file>

<file path=docProps/custom.xml><?xml version="1.0" encoding="utf-8"?>
<Properties xmlns="http://schemas.openxmlformats.org/officeDocument/2006/custom-properties" xmlns:vt="http://schemas.openxmlformats.org/officeDocument/2006/docPropsVTypes"/>
</file>