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Elektronisko sakaru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w:t>
      </w:r>
      <w:r w:rsidR="00000000" w:rsidRPr="00000000" w:rsidDel="00000000">
        <w:rPr>
          <w:rStyle w:val="paragraph"/>
          <w:rtl w:val="0"/>
        </w:rPr>
        <w:t xml:space="preserve">Elektronisko sakaru likumā</w:t>
      </w:r>
      <w:r w:rsidR="00000000" w:rsidRPr="00000000" w:rsidDel="00000000">
        <w:rPr>
          <w:rStyle w:val="paragraph"/>
          <w:rtl w:val="0"/>
        </w:rPr>
        <w:t xml:space="preserve"> </w:t>
      </w:r>
      <w:r w:rsidR="00000000" w:rsidRPr="00000000" w:rsidDel="00000000">
        <w:rPr>
          <w:rStyle w:val="paragraph"/>
          <w:rtl w:val="0"/>
        </w:rPr>
        <w:t xml:space="preserve"> (Latvijas Vēstnesis, 2022, 144. nr.) šādus grozījumus:</w:t>
      </w:r>
      <w:r>
        <w:br/>
      </w:r>
      <w:r w:rsidR="00000000" w:rsidRPr="00000000" w:rsidDel="00000000">
        <w:rPr>
          <w:rStyle w:val="paragraph"/>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Izteikt 15. pantu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apdraudējuma gadījumā, izsludinot ārkārtējo situāciju vai izņēmuma stāvokli, Ministru kabinets var pieņemt lēmumu valsts akciju sabiedrībai "Latvijas Valsts radio un televīzijas centrs" un valsts akciju sabiedrībai "Elektroniskie sakari" savas kompetences ietvaros prioritāri izpildīt Latvijas Nacionālo bruņoto spēku pieprasījumus.  Pieprasījumu prioritāro izpildi atrunā sadarbības līgumā starp valsts akciju sabiedrību "Latvijas Valsts radio un televīzijas centrs" un Latvijas Nacionālajiem bruņotajiem spēkiem, un valsts akciju sabiedrību "Elektroniskie sakari"  un Latvijas Nacionālajiem bruņotajiem spēkiem, vai to nosaka Ministru kabinets rīkojumā par ārkārtējo situāciju vai izņēmuma stāvokli."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24-TA-1652</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24-TA-1652</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likumprojekts_(grozījumi)_24-TA-1652.docx</dc:title>
</cp:coreProperties>
</file>

<file path=docProps/custom.xml><?xml version="1.0" encoding="utf-8"?>
<Properties xmlns="http://schemas.openxmlformats.org/officeDocument/2006/custom-properties" xmlns:vt="http://schemas.openxmlformats.org/officeDocument/2006/docPropsVTypes"/>
</file>