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146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11. martā (prot. Nr. 10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Iekšējās drošības fonda, Patvēruma, migrācijas un integrācijas fonda un Finansiāla atbalsta instrumenta robežu pārvaldībai un vīzu politikai 2021.–2027. gada plānošanas perioda vadības likuma 6. pantu un 13. panta 1., 2., 3., 4., 5., 6., 7., 8., 9., 10., 11., 12., 14. un 15.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18. oktobra noteikumos Nr. 651 "Iekšējās drošības fonda, Patvēruma, migrācijas un integrācijas fonda un Finansiāla atbalsta instrumenta robežu pārvaldībai un vīzu politikai 2021.–2027. gada plānošanas perioda īstenošanas vadības kārtība" (Latvijas Vēstnesis, 2022, 204. nr.; 2024, 87.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grozījumus fonda nacionālajā programmā ierosina Eiropas Komisija, vadošā iestāde nesniedz tos apstiprināšanai uzraudzības komitejā pirms iesniegšanas apstiprināšanai Eiropas Komisijā."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Ja pieņemts šo noteikumu 30. punktā minētais lēmums, vadošā iestāde vai deleģētā iestāde sagatavo grozījumus nacionālās programmas īstenošanas plānā, pārdalot finansējumu citām aktivitātēm, un virza minētos grozījumus apstiprināšanai."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Projekta vadības un administrēšanas izmaksas nedrīkst pārsniegt 20 % no projekta tiešajām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Atbilstoši regulas Nr. 2021/1060 53. un 94. pantam vadošajai iestādei un deleģētajai iestādei ir tiesības piemērot šādas projekta vienkāršotās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vienības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fiksētas summas maksājumu;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61.3. vienotas likmes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64.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Vadošā iestāde vai deleģētā iestāde neveic šo noteikumu 64.2. apakšpunktā minētās pārbaudes, ja finansējuma saņēmējs, kas ir starptautiskā organizācija, iesniedz vadošajā iestādē vai deleģētajā iestādē Eiropas Parlamenta un Padomes 2024. gada 23. septembra Regulas Nr. 2024/2509 par finanšu noteikumiem, ko piemēro Savienības vispārējam budžetam (pārstrādāta redakcija) (turpmāk – regula Nr. 2024/2509), 158. panta 1. punkta pirmās daļas "a", "b" un "c" apakšpunktā minētos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64.</w:t>
      </w:r>
      <w:r w:rsidR="00000000" w:rsidRPr="00000000" w:rsidDel="00000000">
        <w:rPr>
          <w:vertAlign w:val="superscript"/>
          <w:rtl w:val="0"/>
        </w:rPr>
        <w:t xml:space="preserve">2</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2</w:t>
      </w:r>
      <w:r w:rsidR="00000000" w:rsidRPr="00000000" w:rsidDel="00000000">
        <w:rPr>
          <w:rtl w:val="0"/>
        </w:rPr>
        <w:t xml:space="preserve">2. starptautiskā organizācija neiesniedz vadošajā iestādē vai deleģētajā iestādē regulas Nr. 2024/2509 158. panta 1. punkta pirmās daļas "a", "b" un "c" apakšpunktā minētos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64.</w:t>
      </w:r>
      <w:r w:rsidR="00000000" w:rsidRPr="00000000" w:rsidDel="00000000">
        <w:rPr>
          <w:vertAlign w:val="superscript"/>
          <w:rtl w:val="0"/>
        </w:rPr>
        <w:t xml:space="preserve">2</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2</w:t>
      </w:r>
      <w:r w:rsidR="00000000" w:rsidRPr="00000000" w:rsidDel="00000000">
        <w:rPr>
          <w:rtl w:val="0"/>
        </w:rPr>
        <w:t xml:space="preserve">3. starptautiskās organizācijas iesniegtie regulas Nr. 2024/2509 158. panta 1. punkta pirmās daļas "a", "b" un "c" apakšpunktā minētie dokumenti ir nepilnīgi."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"78.3. krāpšana un korupcija – saskaņā ar regulas Nr. 2024/2509 138. panta 1. punkta "d" apakšpunkta "i" un "ii"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78.4.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"78.4. interešu konflikts – saskaņā ar regulas Nr. 2024/2509 61.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XXII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"XXII. Noslēguma jautājums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139. Elektroniskās datu apmaiņas informācijas sistēmu izmanto, sākot ar 2026. gada 1. janvāri."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24-TA-2716</w:t>
    </w:r>
    <w:r>
      <w:br/>
    </w:r>
    <w:r w:rsidR="00000000" w:rsidRPr="00000000" w:rsidDel="00000000">
      <w:rPr>
        <w:rtl w:val="0"/>
      </w:rPr>
      <w:t xml:space="preserve">Izdrukāts 29.07.2026. 22.28 - 1.0.VK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24-TA-2716</w:t>
    </w:r>
    <w:r>
      <w:br/>
    </w:r>
    <w:r w:rsidR="00000000" w:rsidRPr="00000000" w:rsidDel="00000000">
      <w:rPr>
        <w:rtl w:val="0"/>
      </w:rPr>
      <w:t xml:space="preserve">Izdrukāts 29.07.2026. 22.28 - 1.0.VK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noteikumu_(grozījumu)_projekts_24-TA-2716.docx</dc:title>
</cp:coreProperties>
</file>

<file path=docProps/custom.xml><?xml version="1.0" encoding="utf-8"?>
<Properties xmlns="http://schemas.openxmlformats.org/officeDocument/2006/custom-properties" xmlns:vt="http://schemas.openxmlformats.org/officeDocument/2006/docPropsVTypes"/>
</file>