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2023. gadam ir 21 500 000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6 568 520 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800 000</w:t>
      </w:r>
      <w:r w:rsidR="00000000" w:rsidRPr="00000000" w:rsidDel="00000000">
        <w:rPr>
          <w:i w:val="1"/>
          <w:rtl w:val="0"/>
        </w:rPr>
        <w:t xml:space="preserve"> euro</w:t>
      </w:r>
      <w:r w:rsidR="00000000" w:rsidRPr="00000000" w:rsidDel="00000000">
        <w:rPr>
          <w:rtl w:val="0"/>
        </w:rPr>
        <w:t xml:space="preserve"> – daļējai kredītprocentu dzēšanai, pretendentiem, kas nodarbojas ar lauksaimniecības produktu pārstrādi, kā arī ar zvejniecību, akvakultūru vai to produktu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8 000 000 </w:t>
      </w:r>
      <w:r w:rsidR="00000000" w:rsidRPr="00000000" w:rsidDel="00000000">
        <w:rPr>
          <w:i w:val="1"/>
          <w:rtl w:val="0"/>
        </w:rPr>
        <w:t xml:space="preserve">euro </w:t>
      </w:r>
      <w:r w:rsidR="00000000" w:rsidRPr="00000000" w:rsidDel="00000000">
        <w:rPr>
          <w:rtl w:val="0"/>
        </w:rPr>
        <w:t xml:space="preserve">–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2 000 00 </w:t>
      </w:r>
      <w:r w:rsidR="00000000" w:rsidRPr="00000000" w:rsidDel="00000000">
        <w:rPr>
          <w:i w:val="1"/>
          <w:rtl w:val="0"/>
        </w:rPr>
        <w:t xml:space="preserve">euro - s</w:t>
      </w:r>
      <w:r w:rsidR="00000000" w:rsidRPr="00000000" w:rsidDel="00000000">
        <w:rPr>
          <w:rtl w:val="0"/>
        </w:rPr>
        <w:t xml:space="preserve">elekcijas materiāla izstrādei, lai veicinātu konvenciālo, integrēto un bioloģisko lauksaimniecības kultūraugu audzēšanas tehnoloģiju ieviešanu;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3 531 480 euro - 2022. gadā uzsākto atbalsta pasākumu izpildes finansējumam kredītprocentu daļējai dzēšanai.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Komisijas 2013. gada 18. decembra Regulu (EK) Nr.  1408/2013 par Līguma par Eiropas Savienības darbību 107. un 108. panta piemērošanu de minimis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de minimis atbalstam zvejniecības un akvakultūras nozarē (Eiropas Savienības Oficiālais Vēstnesis, 2014. gada 28. jūnijs, Nr. L190) (turpmāk – Komisijas regula Nr.  717/2014) atbalsta saņēmējs glabā 10 gadus no atbalsta saņemšanas dienas. Savukārt saistīto dokumentu par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iz EEZ)(Eiropas Savienības Oficiālais Vēstnesis, 2022. gada 21.decembra, Nr. L 327) (turpmāk – regula 2022/2472)  atbalsta saņēmējs nodrošina pieejamību vismaz 10 gadus no atbalsta piešķiršanas brīža.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2022/2472 prasības, Lauku atbalsta dienests uzliek par pienākumu atbalsta saņēmējam atmaksāt Lauku atbalsta dienestam saņemto nelikumīgo komercdarbības atbalstu. Ja pārkāptas Komisijas regulas Nr. </w:t>
      </w:r>
      <w:r w:rsidR="00000000" w:rsidRPr="00000000" w:rsidDel="00000000">
        <w:rPr>
          <w:rtl w:val="0"/>
        </w:rPr>
        <w:t xml:space="preserve">1407/2013</w:t>
      </w:r>
      <w:r w:rsidR="00000000" w:rsidRPr="00000000" w:rsidDel="00000000">
        <w:rPr>
          <w:rtl w:val="0"/>
        </w:rPr>
        <w:t xml:space="preserve">,  Komisijas regulas Nr.  1408/2013 vai Komisijas regulas Nr.  717/2014 prasības, Lauku atbalsta dienests atbalsta saņēmējam uzliek par pienākumu atmaksāt Lauku atbalsta dienestam visu atbalsta pasākuma ietvaros saņemto komercdarbības atbalstu. Atmaksu veic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2022/2472, Lauku atbalsta dienests vērtē pretendenta atbilstību regulas 2022/2472 1. panta 5. punkta un 2. panta 59. punkta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ja atbalsta pretendentam ar tiesas spriedumu ir pasludināts maksātnespējas process vai ar tiesas spriedumu tiek īstenots tiesiskās aizsardzības process, vai ar tiesas lēmumu tiek īstenots ārpustiesas tiesiskās aizsardzības process, vai ir uzsākta bankrota procedūra, piemērota sanācija vai mierizlīgums, vai tā saimnieciskā darbība ir izbeigta, vai tas atbilst normatīvajos aktos noteiktiem kritērijiem, lai tam pēc kreditora pieprasījuma piemērotu maksātnespējas procedūru. Attiecīgo nosacījumu pārbauda, balstoties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pretendentam Valsts ieņēmumu dienesta administrēto nodokļu vai nodevu parāda kopsumma, tostarp valsts sociālās apdrošināšanas obligāto iemaksu parāds, pārsniedz 150 </w:t>
      </w:r>
      <w:r w:rsidR="00000000" w:rsidRPr="00000000" w:rsidDel="00000000">
        <w:rPr>
          <w:i w:val="1"/>
          <w:rtl w:val="0"/>
        </w:rPr>
        <w:t xml:space="preserve">euro,</w:t>
      </w:r>
      <w:r w:rsidR="00000000" w:rsidRPr="00000000" w:rsidDel="00000000">
        <w:rPr>
          <w:rtl w:val="0"/>
        </w:rPr>
        <w:t xml:space="preserve"> izņemot gadījumu, ja tas ir samaksāts 10 dienu laikā no brīža, kad atbalsta pretendents tika informēts par nodokļu parāda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Komisija regulas 2022/2472 1. panta 4. punktā  "a"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kārtību, kādā piešķir valsts un Eiropas Savienības atbalstu lauku un zivsaimniecības attīstībai, izvērtē pretendenta iesnieguma atbilstību šajos noteikumos minētajām prasībām un pieņem lēmumu par iesnieguma apstiprināšanu, kas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1407/2013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13.2. apakšpunktā un 14. punktā minēto atbalstu izmaksā, nepārsniedzot Komisijas regulas Nr. 1408/2013 3. panta 3.a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izmaksā, nepārsniedzot Komisijas regulas Nr.  </w:t>
      </w:r>
      <w:r w:rsidR="00000000" w:rsidRPr="00000000" w:rsidDel="00000000">
        <w:rPr>
          <w:rtl w:val="0"/>
        </w:rPr>
        <w:t xml:space="preserve">717/2014</w:t>
      </w:r>
      <w:r w:rsidR="00000000" w:rsidRPr="00000000" w:rsidDel="00000000">
        <w:rPr>
          <w:rtl w:val="0"/>
        </w:rPr>
        <w:t xml:space="preserve"> 3. panta 2. punktā noteikto atbalsta summu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gan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regula 2022/2472 13. panta, regulas Nr. 1407/2013 6. panta 4. punkta, regulas Nr. 1408/2013 6. panta 4. punkta un regulas Nr. 717/2014 6. panta 4.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Nr.  </w:t>
      </w:r>
      <w:r w:rsidR="00000000" w:rsidRPr="00000000" w:rsidDel="00000000">
        <w:rPr>
          <w:rtl w:val="0"/>
        </w:rPr>
        <w:t xml:space="preserve">1407/2013</w:t>
      </w:r>
      <w:r w:rsidR="00000000" w:rsidRPr="00000000" w:rsidDel="00000000">
        <w:rPr>
          <w:rtl w:val="0"/>
        </w:rPr>
        <w:t xml:space="preserve"> 1. panta 1. punktā, Komisijas regulas Nr.  </w:t>
      </w:r>
      <w:r w:rsidR="00000000" w:rsidRPr="00000000" w:rsidDel="00000000">
        <w:rPr>
          <w:rtl w:val="0"/>
        </w:rPr>
        <w:t xml:space="preserve">717/2014</w:t>
      </w:r>
      <w:r w:rsidR="00000000" w:rsidRPr="00000000" w:rsidDel="00000000">
        <w:rPr>
          <w:rtl w:val="0"/>
        </w:rPr>
        <w:t xml:space="preserve"> 1. panta 1. punktā un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Nr.  </w:t>
      </w:r>
      <w:r w:rsidR="00000000" w:rsidRPr="00000000" w:rsidDel="00000000">
        <w:rPr>
          <w:rtl w:val="0"/>
        </w:rPr>
        <w:t xml:space="preserve">1407/2013</w:t>
      </w:r>
      <w:r w:rsidR="00000000" w:rsidRPr="00000000" w:rsidDel="00000000">
        <w:rPr>
          <w:rtl w:val="0"/>
        </w:rPr>
        <w:t xml:space="preserve"> 7. panta 4. punktā, Komisijas regulas Nr.  </w:t>
      </w:r>
      <w:r w:rsidR="00000000" w:rsidRPr="00000000" w:rsidDel="00000000">
        <w:rPr>
          <w:rtl w:val="0"/>
        </w:rPr>
        <w:t xml:space="preserve">717/2014</w:t>
      </w:r>
      <w:r w:rsidR="00000000" w:rsidRPr="00000000" w:rsidDel="00000000">
        <w:rPr>
          <w:rtl w:val="0"/>
        </w:rPr>
        <w:t xml:space="preserve"> 7. panta 4. punktā un Komisijas regulas Nr.  </w:t>
      </w:r>
      <w:r w:rsidR="00000000" w:rsidRPr="00000000" w:rsidDel="00000000">
        <w:rPr>
          <w:rtl w:val="0"/>
        </w:rPr>
        <w:t xml:space="preserve">1408/2013</w:t>
      </w:r>
      <w:r w:rsidR="00000000" w:rsidRPr="00000000" w:rsidDel="00000000">
        <w:rPr>
          <w:rtl w:val="0"/>
        </w:rPr>
        <w:t xml:space="preserve"> 7. panta 4. punktā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kas minēts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ko piešķir saskaņā ar regulu 2022/2472, publicē saskaņā ar minētās regulas 9. panta 1. punkta "c" apakšpunktu un 4.punktu.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uzlabošanai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(tai skaitā kombainu, pašgājēju augu smalcinātāju, smidzinātāju), tās piekabju un puspiekabju, tādu lauksaimniecībā izmantojamo tehnoloģisko agregātu iegādi, kuru darbināšanai tiek izmantota traktortehnika, kā arī mobilo kalšu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tādas lauksaimniecībā izmantojamās zemes iegādi, kuru pretendents izmanto lauksaimniecības produkcijas ražošanai un kura kārtējā gadā ir deklarēta vienotā platību maksājuma saņemšanai atbilstoši normatīvajiem aktiem par tiešo maksājumu piešķiršanas kārtību lauksaimniekiem;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emitents Finanšu instrumentu tirgus likuma izpratnē, kura galvenā darbības joma ir kreditēšana;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 kas izsniegti no 2015. gada 25.aprīļa.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intensitāte nepārsniedz 90 procentu no attiecināmo izmaksu apmēra.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ilgtermiņa aizdevumam vai finanšu līzingam, kā arī citam investīciju atbalstam par vienām un tām pašām attiecināmajām izmaksām maksimālā atbalsta intensitāte nepārsniedz 65 procenti no attiecināmo izmaksu apmēra. Maksimālo atbalsta intensitāti var palielināt atbilstoši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Padomes regula (ES) 2021/2115) 73.panta 4. punkta nosacījumiem. Ja pretendentam atbalsts piešķirts saskaņā ar Eiropas Parlamenta un Padomes 2013. gada 17. decembra Regulu (ES) Nr. 1305/2013 par atbalstu lauku attīstībai no Eiropas Lauksaimniecības fonda lauku attīstībai (ELFLA) un ar ko atceļ Padomes Regulu (EK) Nr. 1698/2005 (turpmāk – Regula (ES) Nr. 1305/2013), tad ilgtermiņa aizdevumam vai finanšu līzingam, kā arī citam investīciju atbalstam par vienām un tām pašām attiecināmajām izmaksām maksimālā atbalsta intensitāte nepārsniedz 50 procentu no attiecināmo izmaksu apmēra. Maksimālo atbalsta intensitāti var palielināt par 20 procentiem gados jauniem lauksaimniekiem un ieguldījumiem apgabalos, kuros ir dabas radīti vai citi specifiski ierobežojumi, saskaņā ar Regulas (ES) Nr. 1305/2013 2. panta 1. punkta "n" apakšpunktu un Regulas (ES) Nr. 1305/2013 32. pantu, kā arī par darbībām, ko finansē saistībā ar Eiropas inovācijas partnerību. Maksimālā atbalsta intensitāte nepārsniedz 90 procentu no attiecināmo izmaksu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13.1. apakšpunktā minēto atbalstu, pretendents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mainīga procentu likme, izziņā norāda attiecīgajā laikposmā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 pirkuma vai komersanta līgumu vai būvniecības līgumu un ar tiem saistīto maksājumu dokumentu – kopijas vai, ja pirkums izdarīts vai pakalpojums sniegts bez rakstiska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traktortehniku, piekabēm, lauksaimniecībā izmantojamiem tehnoloģiskiem agregātiem un būvēm, ja tās nodotas ekspluatācijā 24 mēnešu laikā no būvniecības uzsākšanas, kā arī par zemi, uz kuras atrodas būve, un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14.04.2020. noteikumiem Nr. 209)</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būves pārbūve, – apliecinājuma karti un darbu nodošanas un pieņemšanas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13.1.2. un 13.1.4. apakšpunktā minēto atbalstu –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13.2. apakšpunktā minēto atbalstu, pretendents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euro.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faktiski samaksāto kredītprocentu vidējo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summu, kas kārtējā gadā pārsniedz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regulas Nr.  </w:t>
      </w:r>
      <w:r w:rsidR="00000000" w:rsidRPr="00000000" w:rsidDel="00000000">
        <w:rPr>
          <w:rtl w:val="0"/>
        </w:rPr>
        <w:t xml:space="preserve">1407/2013</w:t>
      </w:r>
      <w:r w:rsidR="00000000" w:rsidRPr="00000000" w:rsidDel="00000000">
        <w:rPr>
          <w:rtl w:val="0"/>
        </w:rPr>
        <w:t xml:space="preserve"> 1. panta 1. punktu. Pēc atbalsta saņemšanas kooperatīvā sabiedrība un kooperatīvā sabiedrība, kas darbojas mežsaimniecības nozarē, ievēro Komisijas regulas Nr.  </w:t>
      </w:r>
      <w:r w:rsidR="00000000" w:rsidRPr="00000000" w:rsidDel="00000000">
        <w:rPr>
          <w:rtl w:val="0"/>
        </w:rPr>
        <w:t xml:space="preserve">1407/2013</w:t>
      </w:r>
      <w:r w:rsidR="00000000" w:rsidRPr="00000000" w:rsidDel="00000000">
        <w:rPr>
          <w:rtl w:val="0"/>
        </w:rPr>
        <w:t xml:space="preserve"> 1. panta 2.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Pretendentam ilgtermiņa aizdevumam vai finanšu līzingam, kā arī citam investīciju atbalstam par vienām un tām pašām attiecināmajām izmaksām maksimālā atbalsta intensitāte nepārsniedz 65 procenti no attiecināmo izmaksu apmēra, bet to var palielināt atbilstoši Padomes regulas (ES) 2021/2115 73.panta 4. punkta nosacījumiem. Ja pretendentam atbalstu piešķir saskaņā ar Regulu (ES) Nr. 1305/2013, tad  ilgtermiņa aizdevumam vai finanšu līzingam, kā arī citam investīciju atbalstam par vienām un tām pašām attiecināmajām izmaksām maksimālā atbalsta intensitāte nepārsniedz 50 procentu no attiecināmo izmaksu apmēra, bet to var palielināt par 20 procentiem ieguldījumiem apgabalos, kuros ir dabas radīti vai citi specifiski ierobežojumi, saskaņā ar Regulas (ES) Nr. 1305/2013 32. pantu un darbībām, ko finansē saistībā ar Eiropas inovācijas partnerību, maksimālajai atbalsta intensitātei nepārsniedzot 90 procentu.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emitents Finanšu instrumentu tirgus likuma izpratnē, kura galvenā darbības joma ir kreditēšana;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izsniegtiem aizdevumiem, kas izsniegti no 2015. gada 25.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23.1. apakšpunktā minēto atbalstu, kooperatīvā sabiedrība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euro.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(3.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mainīga procentu likme, izziņā norāda attiecīgajā laikposmā faktiski samaksāto vidējo kredītprocentu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kooperatīvās sabiedrības, kas darbojas mežsaimniecības nozarē,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ar zvejniecību, akvakultūru vai to produktu apstrādi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to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(tai skaitā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 2. red.) kodiem – grupa 10.1, grupa 10.3, grupa 11.07, grupa 10.41, grupa 10.6 un grupa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Nr. </w:t>
      </w:r>
      <w:r w:rsidR="00000000" w:rsidRPr="00000000" w:rsidDel="00000000">
        <w:rPr>
          <w:rtl w:val="0"/>
        </w:rPr>
        <w:t xml:space="preserve">1407/2013</w:t>
      </w:r>
      <w:r w:rsidR="00000000" w:rsidRPr="00000000" w:rsidDel="00000000">
        <w:rPr>
          <w:rtl w:val="0"/>
        </w:rPr>
        <w:t xml:space="preserve"> piešķir pretendentam, kas atbilst mikrouzņēmuma, mazā un vidējā uzņēmuma kategorijai saskaņā ar Komisijas regulas 2022/2472 I pielikumā noteikto klasifikāciju un kas Līguma par Eiropas Savienības darbību I pielikumā noteiktos lauksaimniecības produktus pārstrādā šajā pielikumā neminētos lauksaimniecības produktos atbilstoši saimnieciskās darbības statistiskās klasifikācijas (NACE 2. red.) kodiem – grupa 10.7, grupa 10.52 un grupa 11.07 (tikai dabīgi raudzēts kvass ar alkohola saturu līdz 0,5 tilpumprocentiem), grupa 10.3, ja šie produkti atbilst Eiropas Savienības Kombinētās nomenklatūras kodiem 20041091 un 20052010, grupa 10.41, ja šie produkti atbilst Eiropas Savienības Kombinētās nomenklatūras kodam 1518, un grupa 10.51, ja šie produkti atbilst Eiropas Savienības Kombinētās nomenklatūras kodiem 04031051–04039099, 04052010–04052030, 3501 un 3502. Atbalsta saņēmējs nodrošina Komisijas regulas Nr. </w:t>
      </w:r>
      <w:r w:rsidR="00000000" w:rsidRPr="00000000" w:rsidDel="00000000">
        <w:rPr>
          <w:rtl w:val="0"/>
        </w:rPr>
        <w:t xml:space="preserve">1407/2013</w:t>
      </w:r>
      <w:r w:rsidR="00000000" w:rsidRPr="00000000" w:rsidDel="00000000">
        <w:rPr>
          <w:rtl w:val="0"/>
        </w:rPr>
        <w:t xml:space="preserve">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regulu Nr.  1407/2013 piešķir pretendentam, kas Līguma par Eiropas Savienības darbību I pielikumā noteiktos lauksaimniecības produktus pārstrādā šajā pielikumā neminētos lauksaimniecības produktos un neatbilst regulas 2022/2472 I pielikumā noteiktajai mikrouzņēmuma, mazā vai vidējā uzņēmuma kategorijai atbilstoši saimnieciskās darbības statistiskās klasifikācijas (NACE 2. red.) kodiem – grupa 10.52 un grupa 10.51 –, ja šie produkti atbilst Eiropas Savienības Kombinētās nomenklatūras kodiem 04031051–04039099, 04052010–04052030, 3501 un 3502 un nodrošina regulas Nr.  1407/2013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 red.) kodam 10.1 – gaļas un gaļas produktu ražošana, pārstrāde un konservēšana, kodam 10.5 – piena produktu ražošana un kodam 10.6 – graudu malšanas produktu, cietes un cietes produktu ražošana, piešķir saskaņā ar Komisijas regulu Nr. 1407/2013. Atbalsta saņēmējs nodrošina Komisijas regulas Nr. 1407/2013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piešķir pretendentam, ja tas nodarbojas ar zvejniecību, akvakultūru vai to produktu apstrādi atbilstoši saimnieciskās darbības statistiskās klasifikācijas (NACE 2. red.) kodiem – tikai grupa 03 vai grupa 03 un grupa 10.2 – saskaņā ar Komisijas regulu Nr. 717/2014 un ja tas darbojas atbilstoši saimnieciskās darbības statistiskās klasifikācijas (NACE 2. red.) kodiem – grupa 10.2. vai 10.41 – saskaņā ar Komisijas regulu Nr. 1407/2013. Atbalsta saņēmējs nodrošina Komisijas regulas Nr. 717/2014 1. panta 2. un 3. punktā vai Komisijas regulas Nr. 1407/2013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emitents Finanšu instrumentu tirgus likuma izpratnē, kura galvenā darbības joma ir kreditēšana.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izsniegtajiem aizdevumiem, kas izsniegti no 2015. gada 25.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lauksaimniecības produktu pārstrādi, ilgtermiņa aizdevumam vai finanšu līzingam, kā arī citam investīciju atbalstam par vienām un tām pašām attiecināmajām izmaksām atbalstu kredītprocentu dzēšanai šo noteikumu 34.</w:t>
      </w:r>
      <w:r w:rsidR="00000000" w:rsidRPr="00000000" w:rsidDel="00000000">
        <w:rPr>
          <w:sz w:val="20"/>
          <w:rtl w:val="0"/>
        </w:rPr>
        <w:t xml:space="preserve"> </w:t>
      </w:r>
      <w:r w:rsidR="00000000" w:rsidRPr="00000000" w:rsidDel="00000000">
        <w:rPr>
          <w:rtl w:val="0"/>
        </w:rPr>
        <w:t xml:space="preserve">punktā minētā atbalsta maksimālā intensitāte nepārsniedz 65 procenti no attiecināmo izmaksu apmēra, bet to var palielināt atbilstoši Padomes regula (ES) 2021/2115 73.panta 4. punkta nosacījumiem. Pretendentam, kas nodarbojas ar lauksaimniecības produktu pārstrādi, igtermiņa aizdevumam vai finanšu līzingam, kā arī citam investīciju atbalstam par vienām un tām pašām attiecināmajām izmaksām atbalstu kredītprocentu dzēšanai šo noteikumu 34.1 un 34.2  punktā minētā atbalsta maksimālā intensitāte nepārsniedz 65 procenti, bet to var palielināt atbilstoši Padomes regula (ES) 2021/2115 73.panta 4. punkta nosacījumiem, ievērojot Komisijas 2014. gada 17. jūnija Regulas (EK) Nr. 651/2014, ar ko noteiktas atbalsta kategorijas atzīst par saderīgām ar iekšējo tirgu, piemērojot Līguma 107. un 108. pantu (Eiropas Savienības Oficiālais Vēstnesis, 2014. gada 26. jūnijs, Nr. L 187) 14.panta 12. punkta nosacījumiem  no attiecināmo izmaksu apmēra. Ja pretendentam, kas nodarbojas ar lauksaimniecības produktu pārstrādi atbalstu saņem saskaņā ar Regula (ES) Nr. 1305/2013, tad igtermiņa aizdevumam vai finanšu līzingam, kā arī citam investīciju atbalstam par vienām un tām pašām attiecināmajām izmaksām atbalstu kredītprocentu dzēšanai šo noteikumu 34.1 punktā un 34.2 2. apakšpunktā minētā atbalsta maksimālā intensitāte nepārsniedz 40 procentu no attiecināmo izmaksu apmēra, bet šo noteikumu 34. punktā un 34.2 1. apakšpunktā minētā atbalsta maksimālā intensitāte nepārsniedz 50 procentu no attiecināmo izmaksu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nodarbojas ar zvejniecību, akvakultūru vai to produktu apstrādi, ilgtermiņa aizdevuma vai finanšu līzingam, kā arī citam investīciju atbalstam par vienām un tām pašām attiecināmajām izmaksām atbalstu kredītprocentu dzēšanai piešķir, nepārsniedzot maksimālo atbalsta intensitāti, kas noteikta Eiropas Parlamenta un Padomes 2021. gada 7. jūlija Regulu (ES) 2021/1139, ar ko izveido Eiropas Jūrlietu, zvejniecības un akvakultūras fondu un groza Regulu (ES) 2017/1004, 41. pantā. Ja pretendentam, kas nodarbojas ar zvejniecību,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Padomes regula Nr. 508/2014), tad ilgtermiņa aizdevuma vai finanšu līzingam, kā arī citam investīciju atbalstam par vienām un tām pašām attiecināmajām izmaksām atbalstu kredītprocentu dzēšanai piešķir, nepārsniedzot maksimālo atbalsta intensitāti, kas noteikta Padomes regulas Nr. 508/2014 95. pantā un īstenošanas aktos, kuri pieņemti, pamatojoties uz minētās regulas 95. panta 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33.1. apakšpunktā minēto atbalstu, pretendents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attiecīgajā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(5. pielikuma 3. daļa) – pirkuma vai komersanta līgumu (būvniecības līgumu) un ar tiem saistīto maksājumu dokumentu kopsavilkumu (ja pirkums izdarīts vai pakalpojums sniegts bez rakstiska līguma, iesniedz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tiesības apliecinošu dokumentu kopijas par kravas autotransportu un būvēm, ja tās nodotas ekspluatācijā 24 mēnešu laikā pēc būvniecības uzsākšanas, kā arī par zemi, uz kuras atrodas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 par būves pieņemšanu ekspluatācijā (ja būvniecība nav pabeigta, – būvatļauju) vai, ja ir vienkāršota pārbūve, – apliecinājuma karti un darbu nodošanas un pieņemšanas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33.2. apakšpunktā minēto atbalstu, pretendents par laikposmu no iepriekšējā gada 1. septembra līdz kārtējā gada 30. jūnijam Lauku atbalsta dienestā laikā no kārtējā gada 1. jūlija līdz 20.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(6. pielikums);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mainīga procentu likme, izziņā norāda laikposmā faktiski samaksāto vidējo kredītprocentu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2022/2472.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un laboratorijas tehnikas un aprīkojuma iegādei;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2022/2472 38. panta 7.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pielikuma 2. punktā minētajam pētījumam, arī datortehnikas un programmatūras iegādei un darba samaksai, tai skaitā nodokļu samaksai, – līdz 85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sedz līdz 100 procentiem no šo noteikumu 43.4. apakšpunktā minētajām attiecināmajām izmaksām, kas saistītas ar sadarbību un pētniecības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minētais atbalsts tiek piešķirts atbilstoši regulu 2022/2472 38.panta nosacījumiem un tiek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9 </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pārejošos pētījumus;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24., 25., 26., 27., 28., 29., 30., 31., 32., 33., 34.,35., 36., 37., 38., 39. un </w:t>
      </w:r>
      <w:r w:rsidR="00000000" w:rsidRPr="00000000" w:rsidDel="00000000">
        <w:rPr>
          <w:rtl w:val="0"/>
        </w:rPr>
        <w:t xml:space="preserve">40.</w:t>
      </w:r>
      <w:r w:rsidR="00000000" w:rsidRPr="00000000" w:rsidDel="00000000">
        <w:rPr>
          <w:rtl w:val="0"/>
        </w:rPr>
        <w:t xml:space="preserve"> punktā minētos pētījumus.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2022/2472 2. panta 50.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2022/2472 38. panta 8. un 9. punkta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veiktas pēc iesnieguma iesniegšanas vai pēc Komisijas regulas 2022/2472 38. panta 3. punktā minētās informācijas publicēšanas par attiecīgo zinātnes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aprīlim iesniedz Lauku atbalsta dienestā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43.4.</w:t>
      </w:r>
      <w:r w:rsidR="00000000" w:rsidRPr="00000000" w:rsidDel="00000000">
        <w:rPr>
          <w:rtl w:val="0"/>
        </w:rPr>
        <w:t xml:space="preserve"> apakšpunktā minēto atbalstu, pretendents iesniegumam pievieno ar Zemkopības ministrijas atbildīgo departamentu saskaņotu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175)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Lauku atbalsta dienestam paziņo par grozījumiem izdevumu tāmē vismaz 10 darbdienas pirms plānoto darbību uzsākšanas, un, ja kādā no tāmes izmaksu pozīcijām grozījumu apmērs pārsniedz 10 procentu, nepieciešams saskaņojums ar Zemkopības ministrijas atbildīgo departamentu.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atbalsta dienests izvērtē par šo noteikumu 44.2. apakšpunktā minētajiem pētījumiem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43.4.</w:t>
      </w:r>
      <w:r w:rsidR="00000000" w:rsidRPr="00000000" w:rsidDel="00000000">
        <w:rPr>
          <w:rtl w:val="0"/>
        </w:rPr>
        <w:t xml:space="preserve"> apakšpunktā minētajā atbalsta pasākumā saņemtu gala norēķinu 10 procentu apmērā, atbalsta saņēmējs līdz kārtējā gada 15. novembrim iesniedz Zemkopības ministrijā gala pārskatu un līdz kārtējā gada 5. decembrim iesniedz Lauku atbalsta dienestā samaksu apliecinošu dokumentu kopsavilkumu;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w:t>
      </w:r>
      <w:r w:rsidR="00000000" w:rsidRPr="00000000" w:rsidDel="00000000">
        <w:rPr>
          <w:rtl w:val="0"/>
        </w:rPr>
        <w:t xml:space="preserve">7.</w:t>
      </w:r>
      <w:r w:rsidR="00000000" w:rsidRPr="00000000" w:rsidDel="00000000">
        <w:rPr>
          <w:rtl w:val="0"/>
        </w:rPr>
        <w:t xml:space="preserve"> pielikumā minēto pētījumu izpildītājam pēc pētījuma pārskata apstiprināšanas Zemkopības ministrijā attiecīgā pētījuma pārskatu ievietot Latvijas Lauksaimniecības universitātes pētījumu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konvenciālo, integrēto un bioloģisko lauksaimniecības kultūraugu audzēšanas tehnoloģiju ieviešanu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selekcijas programmas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2022/2472.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Atbilstoši regulas 2022/2472  38. panta 7. un 10. punktam atbalsts sedz līdz 100 procentiem no šādām ar sadarbību un pētniecības pasākumiem saistītām attiecināmajām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atalgojumu un darba devēja iemaksātās valsts sociālās apdrošināšanas obligātās iemaksas, kā arī citus normatīvajos aktos noteiktos darba ņēmēja labā obligāti veicamos maksājumus pētniekiem, pētniecības tehniskajam personālam un palīgpersonālam, ciktāl tas ir nodarbināts pasākuma izpildē;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aparatūras un iekārtu amortizācijas izmaksas. Ja aparatūras un iekārtu kalpošanas laiks pārsniedz zinātniskā pasākuma ilgumu, tad par attiecināmām izmaksām uzskata tikai tās aparatūras un iekārtu amortizācijas izmaksas, kas atbilst pasākuma ilgumam un ir aprēķinātas saskaņā ar normatīvajiem aktiem par grāmatvedību;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inventāra, instrumentu un materiālu iegādes izmaksas, ja to kalpošanas laiks ir mazāks par vienu gadu;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tehnikas amortizācijas izmaksas, kas atbilst pasākuma ilgumam un ir aprēķinātas saskaņā ar normatīvajiem aktiem par grāmatvedību;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telpu īri un apsaimniekošanu, sakaru pakalpojumu izmaksas, kā arī tādu biroja preču iegādes izmaksas, kuru kalpošanas laiks nav ilgāks par vienu gadu. Uz šo apakšpunktu attiecas tikai tās izmaksas, kas ir noteiktas rakstiski kā procentuālā vai proporcionālā daļa no tādām atbalsta pretendenta darbības un uzturēšanas izmaksām, kuras ir aprēķinātas saskaņā ar normatīvajiem aktiem par grāmatvedību;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pasākuma īstenošanu saistītās komandējumu un  degvielas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materiāla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selekcijas materiāla – līniju – novērtēšanai, lai veidotu jaunas šķirnes un ieviestu bioloģiskās lauksaimniecības kultūraugu audzēšanas tehnoloģijas;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2022/2472 2. panta 50. punktu un nodrošina regulas 2022/2472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12. pielikumā minēto lauksaimniecības augu sugu grupu selekciju;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noteiktu lauksaimniecības kultūraugu (ziemas kviešu, vasaras kviešu, ziemas rudzu, vasaras miežu, ziemas miežu, ziemas tritikāles, vasaras  auzu, sējas zirņu, lauku pupu,  kartupeļu, daudzgadīgo stiebrzāļu (starpsugu hibrīdi, ganību airene, niedru auzene, sarkanā auzene, raupjā auzene), tauriņziežu (sarkanais āboliņš, lucerna, austrumu galega, sējas esparsete) , kaņepju, linu, ābeļu, aveņu, upeņu, krūmcidoniju, plūmju, bumbieru, ķiršu, aprikožu, meloņu, sīpolu, ķiploku) selekcijas programmu jaunu šķirņu izveidei un  integrētās lauksaimniecības kultūraugu audzēšanas tehnoloģiju ieviešanai vai par noteiktu lauksaimniecības kultūraugu (vasaras kviešu, ziemas kviešu, vasaras miežu, ziemas tritikāles, vasaras auzu, lauka pupu, sējas zirņu,  kartupeļu un vasaras miežu,  vasaras un ziemas kviešu hibrīdo populāciju   selekcijas programmu jaunu šķirņu izveidei un bioloģiskās lauksaimniecības kultūraugu audzēšanas tehnoloģiju ieviešanai ir noslēdzis sadarbības līgumu ar biedrību "Zemnieku saeima" vai ar Latvijas Lauksaimniecības kooperatīvu asociāciju, vai ar vismaz vienu Lauksaimnieku organizāciju sadarbības padomes dalīborganizāciju, kas ir saistīta ar attiecīgās kultūraugu grupas sēklu vai pavairojamā materiāla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52.</w:t>
      </w:r>
      <w:r w:rsidR="00000000" w:rsidRPr="00000000" w:rsidDel="00000000">
        <w:rPr>
          <w:vertAlign w:val="superscript"/>
          <w:rtl w:val="0"/>
        </w:rPr>
        <w:t xml:space="preserve">6</w:t>
      </w:r>
      <w:r w:rsidR="00000000" w:rsidRPr="00000000" w:rsidDel="00000000">
        <w:rPr>
          <w:rtl w:val="0"/>
        </w:rPr>
        <w:t xml:space="preserve"> punktā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aprīlim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(11. pielikums);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selekcijas programmu jaunu šķirņu izveidei un  integrēto un bioloģisko  lauksaimniecības kultūraugu, dārzeņu, augļu koku un ogulāju  audzēšanas tehnoloģiju ieviešanai, kurā ietverti šo noteikumu 12.pielikumā minētie izcenojumi.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52.</w:t>
      </w:r>
      <w:r w:rsidR="00000000" w:rsidRPr="00000000" w:rsidDel="00000000">
        <w:rPr>
          <w:vertAlign w:val="superscript"/>
          <w:rtl w:val="0"/>
        </w:rPr>
        <w:t xml:space="preserve">6</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52.</w:t>
      </w:r>
      <w:r w:rsidR="00000000" w:rsidRPr="00000000" w:rsidDel="00000000">
        <w:rPr>
          <w:vertAlign w:val="superscript"/>
          <w:rtl w:val="0"/>
        </w:rPr>
        <w:t xml:space="preserve">7</w:t>
      </w:r>
      <w:r w:rsidR="00000000" w:rsidRPr="00000000" w:rsidDel="00000000">
        <w:rPr>
          <w:rtl w:val="0"/>
        </w:rPr>
        <w:t xml:space="preserve"> punktā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procenti no atbalsta summas tiek samaksāti pēc starppārskata iesniegšanas (starppārskatu Lauku atbalsta dienestā iesniedz līdz kārtējā gada 1. septembrim);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tiek iesniegts līdz kārtējā gada 15. decembrim;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tīmekļa vietnē kārtējā gadā publicē regulas 2022/2472 38. panta 3. punktā minēto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audzēšanas tehnoloģiju ieviešanai, un līdz nākamā gada 1.februārim to iesniedz Zemkopības ministrijā un šo noteikumu 52.</w:t>
      </w:r>
      <w:r w:rsidR="00000000" w:rsidRPr="00000000" w:rsidDel="00000000">
        <w:rPr>
          <w:vertAlign w:val="superscript"/>
          <w:rtl w:val="0"/>
        </w:rPr>
        <w:t xml:space="preserve">7</w:t>
      </w:r>
      <w:r w:rsidR="00000000" w:rsidRPr="00000000" w:rsidDel="00000000">
        <w:rPr>
          <w:rtl w:val="0"/>
        </w:rPr>
        <w:t xml:space="preserve">4.apakšpunktā minētajā organizācijā, ar kuru ir noslēgts sadarbības līgums;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52.</w:t>
      </w:r>
      <w:r w:rsidR="00000000" w:rsidRPr="00000000" w:rsidDel="00000000">
        <w:rPr>
          <w:vertAlign w:val="superscript"/>
          <w:rtl w:val="0"/>
        </w:rPr>
        <w:t xml:space="preserve">10</w:t>
      </w:r>
      <w:r w:rsidR="00000000" w:rsidRPr="00000000" w:rsidDel="00000000">
        <w:rPr>
          <w:rtl w:val="0"/>
        </w:rPr>
        <w:t xml:space="preserve">2.2. apakšpunktā minētā pārskata iesniegšanas atbalsta pasākuma rezultātus publicē savā tīmekļa vietnē un nodrošina rezultātu pieejamību piecu gadu laikā no to publicēšanas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52.</w:t>
      </w:r>
      <w:r w:rsidR="00000000" w:rsidRPr="00000000" w:rsidDel="00000000">
        <w:rPr>
          <w:vertAlign w:val="superscript"/>
          <w:rtl w:val="0"/>
        </w:rPr>
        <w:t xml:space="preserve">9</w:t>
      </w:r>
      <w:r w:rsidR="00000000" w:rsidRPr="00000000" w:rsidDel="00000000">
        <w:rPr>
          <w:rtl w:val="0"/>
        </w:rPr>
        <w:t xml:space="preserve">2. apakšpunktā minētās programmas iespējamo neizpildi pretendents triju darbdienu laikā pēc attiecīgā notikuma konstatēšanas rakstiski informē Lauku atbalsta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w:t>
    </w:r>
    <w:r>
      <w:br/>
    </w:r>
    <w:r w:rsidR="00000000" w:rsidRPr="00000000" w:rsidDel="00000000">
      <w:rPr>
        <w:rtl w:val="0"/>
      </w:rPr>
      <w:t xml:space="preserve">Izdrukāts 29.07.2026. 21.39 - 2.0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w:t>
    </w:r>
    <w:r>
      <w:br/>
    </w:r>
    <w:r w:rsidR="00000000" w:rsidRPr="00000000" w:rsidDel="00000000">
      <w:rPr>
        <w:rtl w:val="0"/>
      </w:rPr>
      <w:t xml:space="preserve">Izdrukāts 29.07.2026. 21.39 - 2.0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noteikumu_konsolidētā_versija_23-TA-132.docx</dc:title>
</cp:coreProperties>
</file>

<file path=docProps/custom.xml><?xml version="1.0" encoding="utf-8"?>
<Properties xmlns="http://schemas.openxmlformats.org/officeDocument/2006/custom-properties" xmlns:vt="http://schemas.openxmlformats.org/officeDocument/2006/docPropsVTypes"/>
</file>