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273"/>
        <w:gridCol w:w="6019"/>
        <w:tblGridChange w:id="0">
          <w:tblGrid>
            <w:gridCol w:w="1748"/>
            <w:gridCol w:w="1273"/>
            <w:gridCol w:w="6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Atveseļošanas un noturības mehānisma plāns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Reformu un investīciju virziens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mobilitāte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2.3.1.2.i.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digitālo prasmju attīstība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7 800 000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projektu iesniegumu atlase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IZSLĒGŠANAS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 (N</w:t>
            </w:r>
            <w:r w:rsidR="00000000" w:rsidRPr="00000000" w:rsidDel="00000000">
              <w:rPr>
                <w:vertAlign w:val="superscript"/>
                <w:rtl w:val="0"/>
              </w:rPr>
              <w:t xml:space="preserve">1</w:t>
            </w:r>
            <w:r w:rsidR="00000000" w:rsidRPr="00000000" w:rsidDel="00000000">
              <w:rPr>
                <w:b w:val="1"/>
                <w:rtl w:val="0"/>
              </w:rPr>
              <w:t xml:space="preserv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iesniegšanas vai atbalsta piešķiršanas brīdi atrodas šādā izslēgšanas situācijā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 izslēgšanas kritērijiem, kas noteikti šo noteikumu </w:t>
            </w:r>
            <w:r w:rsidR="00000000" w:rsidRPr="00000000" w:rsidDel="00000000">
              <w:rPr>
                <w:rtl w:val="0"/>
              </w:rPr>
              <w:t xml:space="preserve">25.</w:t>
            </w:r>
            <w:r w:rsidR="00000000" w:rsidRPr="00000000" w:rsidDel="00000000">
              <w:rPr>
                <w:rtl w:val="0"/>
              </w:rPr>
              <w:t xml:space="preserve"> punktā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to attiecas neizpildīts līdzekļu atgūšanas rīkojums saskaņā ar iepriekšēju Komisijas lēmumu atbilstoši Komisijas regulas Nr. 651/2014 1. panta 4. punkta "a" apakšpunktam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vairāk nekā vienu projekta iesniegumu vai projekta iesniegums nav iesniegts Kohēzijas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noteiktas starptautiskās nacionālās sankcijas vai būtiskas finanšu tirgus intereses ietekmējošas Eiropas Savienības vai Ziemeļatlantijas līguma organizācijas dalībvalsts sankcijas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VISPĀRĪGIE ATBILSTĪBAS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 (attiecas uz finansējuma saņēmēju, ja tā ir biedrība):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projekta iesniedzējs ir biedrība, kas reģistrēta Uzņēmumu reģistra Biedrību un nodibinājumu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Latvijā reģistrēto biedrības biedru un to biedru, kas nav projekta iesniedzēja biedri, bet ir biedri kādā no organizācijām, kas ir projekta iesniedzēja biedri,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 (attiecas uz finansējuma saņēmēju, ja tā ir augstākās izglītības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1.1. projekta iesniedzējs ir augstākās izglītības iestāde, kas reģistrēta Izglītības un zinātnes ministrijas Zinātnisko institūciju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1.2.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sniedzis informāciju par administrēšanas, īstenošanas un finanšu kapacitāti projekta īstenošanai, kas iekļauj informāciju par privātā līdzfinansējuma nodrošināšanu, iesaistītā personāla aprakstu, lai varētu īstenot plānotās aktivitātes, un kapacitāte ir pietiekama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šajos noteikumos noteiktajam mērķim, definētie uzraudzības rādītāji nodrošina un apliecina mērķa sasniegšanu, uzraudzības rādītāji ir precīzi definēti, pamatoti un izmērāmi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atbalstāmās darbības un attiecināmās izmaksas atbilst šajos noteikumos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ir sasaistītas un nepieciešamas projekta īstenošanai (ir precīzi definētas un pamatotas un risina projektā definētās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nepārsniedz šajos noteikumos noteiktos izmaksu ierobežojumu apmērus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latviešu valodā, projekta iesniegumam ir pievienoti visi projektu iesniegumu atlases nolikumā noteiktie iesniedzamie dokumenti, tie ir noformēti atbilstoši normatīvo aktu prasībām, sagatavoti latviešu valodā vai tiem ir pievienots tulkojums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ir pievienota projekta iesniedzēja izstrādāta procedūra, kā tas nodrošinās </w:t>
            </w:r>
            <w:r w:rsidR="00000000" w:rsidRPr="00000000" w:rsidDel="00000000">
              <w:rPr>
                <w:i w:val="1"/>
                <w:rtl w:val="0"/>
              </w:rPr>
              <w:t xml:space="preserve">de minimis</w:t>
            </w:r>
            <w:r w:rsidR="00000000" w:rsidRPr="00000000" w:rsidDel="00000000">
              <w:rPr>
                <w:rtl w:val="0"/>
              </w:rPr>
              <w:t xml:space="preserve"> un Komisijas regulas Nr. 651/2014 atbalsta 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apliecinājis, ka tam līdz projekta iesnieguma iesniegšanai ir izstrādāta iekšējās kontroles sistēma korupcijas un interešu konflikta riska novēršanai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pārstāvēto biedru rādītāji (biedru kopējais darbinieku skaits vai biedru kopējais apgrozījums, biedru skaits, ja rādītāji ir vienādi)</w:t>
            </w:r>
            <w:r w:rsidR="00000000" w:rsidRPr="00000000" w:rsidDel="00000000">
              <w:rPr>
                <w:vertAlign w:val="superscript"/>
                <w:rtl w:val="0"/>
              </w:rPr>
              <w:t xml:space="preserve">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(attiecināms, ja projekta iesniedzējs ir 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otri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attiecīgajā nozarē, kas neatbilst 1.1. un 1.2. kritērijam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apmācību projektu īstenošanas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īstenoto nodarbināto apmācību projektu kopējo izmaksu kopsumma attiecībā pret projekta iesniegumā plānoto attiecināmo izmaksu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vismaz 85 %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50 % līdz 84,9 %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30 % līdz 49,9 %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mazāka par 30 % no projekta iesniegumā plānotajām kopējām izmaksām, vai projekta iesniedzējs nav īstenojis nodarbināto apmācību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Aprakstīts, kādā kārtībā tiek atbalstīts gala labuma guvējs,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raksturoti gala labumu guvēju atlases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raksturoti gala labumu guvēju principi un kritēriji vai sniegta nepatiesa vai maldinoša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Plānotais komersantu skaits, kam nodrošināta digitālo pamatprasmju apguve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komersanti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109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līdz 79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 par principa "nenodarīt būtisku kaitējumu" ievērošanu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iesaistītie darbinieki (komanda)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Katrā apakškritērijā jāsaņem vismaz 1</w:t>
            </w:r>
            <w:r w:rsidR="00000000" w:rsidRPr="00000000" w:rsidDel="00000000">
              <w:rPr>
                <w:rtl w:val="0"/>
              </w:rPr>
              <w:t xml:space="preserve"> </w:t>
            </w:r>
            <w:r w:rsidR="00000000" w:rsidRPr="00000000" w:rsidDel="00000000">
              <w:rPr>
                <w:i w:val="1"/>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darbā ar projekta ieviešanu un uzraudzību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divi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viens pilns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viens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projektu vadībā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90 %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70 %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50 %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par mazāk nekā 50 %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KOPĀ (maksimālais punktu skaits) –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Minimālais punktu skaits izslēdzošajos kritērijos –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Tiek atbalstīti lielāko punktu skaitu ieguvušie projekta pieteicēji, nepārsniedzot pieejamo finansējumu.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vairākiem projektu iesniegumiem ir vienāds punktu skaits, priekšroka ir projektam, kurā plānots lielākais apmācāmo komersantu skaits. Ja apmācāmo komersantu skaits ir vienāds, priekšroka ir projektam, kas ir ieguvis lielāku punktu skaitu 3.2. kvalitātes kritērijā "Projekta iesniedzēja apmācību projektu īstenošanas pieredze".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Projekta iesniegumu noraida, ja kritērijā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projekta iesniegums atbilst vienam no kritērijā minētajiem rādītājiem, projekta iesniegums tiek vērtēts ar zemāko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ja projekta iesniegums neatbilst kritērijam, sadarbības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 – precizējamais kritērijs. Ja projekta iesniegums neatbilst kritērijam, sadarbības iestāde pieņem lēmumu par projekta iesnieguma apstiprināšanu ar nosacījumu, ka projekta iesniedzējs nodrošina pilnīgu atbilstību kritērijam lēmumā noteiktajā laikā un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noteikumu_konsolidētā_versija_p1_24-TA-111.docx</dc:title>
</cp:coreProperties>
</file>

<file path=docProps/custom.xml><?xml version="1.0" encoding="utf-8"?>
<Properties xmlns="http://schemas.openxmlformats.org/officeDocument/2006/custom-properties" xmlns:vt="http://schemas.openxmlformats.org/officeDocument/2006/docPropsVTypes"/>
</file>