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2.1.Prioritātes “Klimata pārmaiņu mazināšana un pielāgošanās klimata pārmaiņām” 2.1.3. specifiskā atbalsta mērķa “Veicināt pielāgošanos klimata pārmaiņām, risku novēršanu un noturību pret katastrofām” 2.1.3.3. pasākuma “Katastrofu risku mazināšanas pasākumi” trešās projektu iesniegumu atlases kārtu (turpmāk – trešā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trešās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trešajai kārtai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projektu iesniedzējiem, finansējuma saņēmējiem un projektu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trešās kārtas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trešās kārtas mērķis ir uzbūvēt Ugunsdrošības un civilās aizsardzības koledžas profesionālās izglītības iestādes kompleksa 1.kārtu un Ugunsdzēsības loģistikas un remonta bāzes kompleksu, kā arī izveidot Drošības klases katastrofu pārvaldības prevencijas pasākumu īstenošanai un sabiedrības izglītošanai.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trešās kārtas mērķa grupa ir Latvijas pašvaldības, iedzīvotāji, Iekšlietu ministrija, Valsts ugunsdzēsības un glābšanas dienests, Nodrošinājuma valsts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trešo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Atbildīgās iestādes funkcijas pasākuma trešās kārtas ietvaros pilda Iekšlietu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trešās kārtas projektu plānotais un pieejamais kopējais finansējums ir 51 258 054 euro, tai skaitā Eiropas Reģionālās attīstības fonda finansējums 43 569 346 euro un valsts budžeta līdzfinansējums 7 688 708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Reģionālās attīstības fonda finansējuma apmērs nepārsniedz 85 procentus no šo noteikumu 7. punktā minētā Eiropas Reģionālās attīstības fonda un valsts budžeta finansējuma kopsummas.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trešo kārtu īsteno līdz 2029. gada 31. decembrim, sasniedzot šādus rādītājus: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investīcijas jaunās vai jauninātās katastrofu monitoringa, gatavības, brīdinājuma un reaģēšanas sistēmās attiecībā uz dabas katastrofām sasniedz 51 258 054 euro, iznākuma rādītāja starpposma vērtība 2024. gada 31.decembrī sasniedz 735 278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rezultāta rādītājs – ieviestas drošības klases piecos reģionos un divu ēku nodošana ekspluatācijā.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projektu iesniedzējiem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trešās kārtas projektu “Ugunsdrošības un civilās aizsardzības koledžas profesionālās izglītības iestādes kompleksa būvniecības 1.kārta” un “Ugunsdzēsības, loģistikas un remonta bāzes kompleksa būvniecība” iesniedzējs ir Nodrošinājuma valsts aģentūra, kas pēc projektu iesniegumu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trešās kārtas projekta “Drošības klašu izveide” projekta iesniedzējs ir Valsts ugunsdzēsības un glābšanas dienests,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trešās kārtas projektu iesniedzējs projektos “Ugunsdrošības un civilās aizsardzības koledžas profesionālās izglītības iestādes kompleksa būvniecības 1.kārta” un “Ugunsdzēsības, loģistikas un remonta bāzes kompleksa būvniecība” kā sadarbības parteri iesaista Valsts ugunsdzēsības un glābšanas dienestu.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trešās kārtas projektu iesniedzējs projektā “Drošības klašu izveide” kā sadarbības partneri iesaista Nodrošinājuma valsts aģentūru.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tos sadarbības iestādē, izmantojot Kohēzijas politikas fondu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iesniedzēji pasākuma trešās kārtas ietvaros iesniedz kopā trīs projektu iesniegumus.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veic izmaksu un ieguvumu analīzi – finanšu analīzi un ekonomisko analīzi – un pievieno to projekta iesniegumam. Veicot izmaksu un ieguvumu analīzi, projekta iesniedzējs nodrošina, ka projekta kopējie ieguvumi un ietaupījumi ir lielāki par projekta investīciju un darbības izmaksām visā projekta pārskata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Sadarbības partnera funkcijas tiek noteiktas finansējuma saņēmēja un sadarbības partnera sadarbības līgumā.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Projektos “Ugunsdrošības un civilās aizsardzības koledžas profesionālās izglītības iestādes kompleksa būvniecības 1.kārta” un “Ugunsdzēsības, loģistikas un remonta bāzes kompleksa būvniecība” Valsts ugunsdzēsības un glābšanas dienesta kā sadarbības partnera pienākums ir konsultēt un noteikt Ugunsdrošības un civilās aizsardzības koledžas ēku kompleksa un Ugunsdzēsības loģiskas un remonta bāzes kompleksa gala lietotāja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Projektā “Drošības klašu izveide” Nodrošinājuma valsts aģentūras kā sadarbības partnera uzdevumi ir sekojoši: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telpu pielāgošanai nepieciešamo projektēšanas, būvdarbu un būvuzraudzības iepirkumu veikšanu;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telpu pielāgošanai nepieciešamo projektēšanas, būvdarbu un būvuzraudzības darbu izpildes vadību un norēķinus ar būvniecībā, autoruzraudzībā un būvuzraudzībā nolīgtajiem izpildītājiem;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sadarboties un īstenojamās aktivitātes koordinēt ar Valsts ugunsdzēsības un glābšanas dienestu.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Projektu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“Ugunsdrošības un civilās aizsardzības koledžas profesionālās izglītības iestādes kompleksa būvniecības 1.kārta” un “Ugunsdzēsības, loģistikas un remonta bāzes kompleksa būvniecība” paredzētas šādas atbalstāmās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tehniskās dokumentācijas sagatavošana;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būvprojekta minimālā sastāvā un būvprojekta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ekspertīze, autoruzraudzība, ekspertu piesaiste, būvuzraudzība un būvniecības jomu regulējošos normatīvajos aktos noteiktā attiecīgo būvniecības speciālistu obligātā apdrošināšana, būvdarbu veicēja civiltiesiskās atbildības apdrošināšana, būvniecības apdrošināšana;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būvdarbi, tostarp darbi, kas saistīti ar objektu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labiekārtošanas darbi, zemes izlīdzināšana, zālājs ap ēku, apmales, celiņi;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vadības un īstenošanas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saistītās infrastruktūras izbūve un labiekārtošana.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“Drošības klašu izveide”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tehniskās un meta dokumentācijas sagatavošana;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būvdarbi Drošības klašu izveidei, pielāgošanai;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pielāgošana, aprīkošana, iekārtu un inventāra iegāde, uzstādīšana;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autoruzraudzība un būvuzraudzība, ekspertu piesaiste;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vadības un īstenošanas personāla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Trešās kārtas projektiem ir paredzēti publicitātes pasākumi par projektu īstenošanu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pantam un kārtībai,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20. punktā minēto projektu īstenošanai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tehniskās apsekošanas, būvniecības izmaksu tāmes, būvprojekta, būvdarbu ieceres dokumentācijas, būvprojekta minimālā sastāvā, apliecinājuma kartes izstrādāšanu, kā arī būvprojekta ekspertīzes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būvuzraudzības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būvdarbu izmaksas, būvniecības jomu regulējošos normatīvajos aktos noteiktās būvdarbu veicēja civiltiesiskās atbildības apdrošināšanas, būvniecības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iekārtu, ierīču, mēbeļu, aprīkojuma iegādes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tehnoloģiju aprīkojuma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elektromobiļu uzlādes staciju plānošana un izbūve.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21. punktā minētā projekta īstenošanai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un ar to saistītās tiešās un netiešās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transportlīdzekļu pārbūves, pielāgošanas, aprīkošanas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tehnoloģiju aprīkojuma iegādes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meta izstrādes un realizācijas, interjera izbūves, aprīkojuma, iekārtu, ierīču iegādes, pielāgošanas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dokumentācijas, būvprojekta, būvuzraudzības un autoruzraudzības, būvdarbu un ar tiem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projekta vadības nodrošināšanu saistītās tiešās un netiešās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konsultantu izmaksas, kas nepieciešamas projekta sekmīgai realizācijai.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Visiem trešās kārtas projektiem ir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darbībām tieši saistīto publicitātes un vizuālās identitātes pasākumu izmaksas, kas veiktas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vadības personāla izmaksas, kuras saskaņā ar Regulas Nr. 2021/1060 55. panta 1. punktu plāno kā vienu izmaksu pozīciju, piemērojot vienoto izmaksu likmi 7 procentu apmērā no projektu pārējām tiešajām attiecināmajām izmaksām, bet neieskaitot tiešās attiecināmās personāla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20. un 21. punktā minētās darbības tiek veiktas, finansējuma saņēmējam un sadarbības partnerim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Projektu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trešās kārtas projektu īstenošanas vieta ir visa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trešās kārtas projektus īsteno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Izmaksu attiecināmības termiņš ir no 2023. gada 1. oktobra.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ka pasākuma ietvaros plānotās izmaksas nepārklātos ar citiem valsts un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Īstenojot projektus, finansējuma saņēmējs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saņēmējam ir pienākums pirms trešās projektu iesniegumu atlases kārtas izsludināšanas izstrādāt kārtību, kādā tiks nodrošināta interešu konflikta neesamība,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un sadarbības partneris paraksta interešu konflikta neesamības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 pienākums ir publiskos iepirkumus veikt saskaņā ar normatīvajiem aktiem publisko iepirkumu jomā, īstenojot konkurenci nodrošinošu, pārredzamu, atklātu, nediskriminējošu konkursa procedūru un, kur tas ir attiecināms, īstenojot sociāli atbildīgus un inovatīvus iepirkumus.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Īpašuma tiesības uz nekustamajiem īpašumiem, kuros plānots veikt ieguldījumus, ir nostiprinātas zemesgrāmatā uz valsts vārda Iekšlietu ministrijas personā vai uz ilgtermiņa nomas līguma pamata tie ir nodoti finansējuma saņēmēja lietošanā.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faktiski sasniegtajiem šo noteikumu 9.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"Objektu skaits, kuros ERAF/KF ieguldījumu rezultātā ir nodrošināta vides un informācijas pieejamība";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horizontālo principu “Klimatdrošināšana”, aprakstot aktivitātes, kas nodrošina klimata pārmaiņu mazināšanu, siltumnīcefekta gāzu emisiju samazināšanu vai oglekļa dioksīda piesaisti;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horizontālo principu "Energoefektivitāte pirmajā vietā" un darbībām, kas paredz enerģijas ietaupījumu;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"Nenodarīt būtisku kaitējumu" darbībām, kas nodrošina atbilstību pielāgošanās klimata pārmaiņām aspektiem.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23-TA-1081</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23-TA-1081</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noteikumu_projekts_23-TA-1081.docx</dc:title>
</cp:coreProperties>
</file>

<file path=docProps/custom.xml><?xml version="1.0" encoding="utf-8"?>
<Properties xmlns="http://schemas.openxmlformats.org/officeDocument/2006/custom-properties" xmlns:vt="http://schemas.openxmlformats.org/officeDocument/2006/docPropsVTypes"/>
</file>