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4.3.2. specifiskā atbalsta mērķa "Kultūras un tūrisma lomas palielināšana ekonomiskajā attīstībā, sociālajā iekļaušanā un sociālajās inovācijās"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4.3.2. specifiskā atbalsta mērķi "Kultūras un tūrisma lomas palielināšana ekonomiskajā attīstībā, sociālajā iekļaušanā un sociālajās inovācijās"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iesniedzējiem, finansējuma saņēmējiem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komercdarbības atbalsta saņemšanas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Specifiskais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ietvaros atbildīgās iestādes funkcijas pilda Kultūras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saņēmējs projektu īsteno saskaņā ar vienošanos vai līgumu par projekta īstenošanu, bet ne ilgāk kā līdz 2029.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Specifiskā atbalsta mērķis un sasniedzamie uzraudzības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mērķis ir uz sociālo iekļaušanu orientēta un mērķa grupas vajadzībās balstīta kultūras piedāvājuma veidošana, kas rada pozitīvu ietekmi uz vietējām kopienām, veicina dialogu ar sociāli mazaizsargātām sabiedrības grupām, ar kultūras pakalpojumu starpniecību mazina sociālo nevienlīdzību un stiprina kopienas kultūras identitāti, veicina tūrisma plūsmu palielināšanos un stimulē uzņēmējdarbību, nodarbinātību un jaunu darbavietu radīšanu.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Specifiskā atbalsta mērķa grupa ir vietējie iedzīvotāji, īpašu uzmanību pievēršot sociāli mazaizsargātām grupām, tai skaitā cilvēkiem ar funkcionāliem traucējumiem, diasporai, mazākumtautību pārstāvjiem un imigrantiem, bērniem un jauniešiem, senioriem un cilvēkiem, kas pakļauti sociāli ekonomiskās atstumtības riskiem.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Specifiskā atbalsta ietvaros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 iznākuma rādītājs: noslēgto līgumu īpatsvars par ieguldījumiem kultūras un tūrisma vietās – 10 procentu;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atbalstīto kultūras un tūrisma objektu skaits – vismaz 11;</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atbalstīto kultūras un tūrisma vietu apmeklētāju skaits – vismaz 16 500.</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Specifiskajam atbalstam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Specifiskā atbalsta ietvaros pieejamais kopējais attiecināmais finansējums ir 15 047 293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12 790 199 </w:t>
      </w:r>
      <w:r w:rsidR="00000000" w:rsidRPr="00000000" w:rsidDel="00000000">
        <w:rPr>
          <w:i w:val="1"/>
          <w:rtl w:val="0"/>
        </w:rPr>
        <w:t xml:space="preserve">euro </w:t>
      </w:r>
      <w:r w:rsidR="00000000" w:rsidRPr="00000000" w:rsidDel="00000000">
        <w:rPr>
          <w:rtl w:val="0"/>
        </w:rPr>
        <w:t xml:space="preserve">un nacionālais finansējums (valsts budžeta līdzfinansējums, pašvaldību līdzfinansējums un privātais līdzfinansējums) – ne mazāks kā 2 257 094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iesnieguma minimālais Eiropas Reģionālās attīstības fonda finansējuma apmērs nav mazāks par 170 000 </w:t>
      </w:r>
      <w:r w:rsidR="00000000" w:rsidRPr="00000000" w:rsidDel="00000000">
        <w:rPr>
          <w:i w:val="1"/>
          <w:rtl w:val="0"/>
        </w:rPr>
        <w:t xml:space="preserve">euro </w:t>
      </w:r>
      <w:r w:rsidR="00000000" w:rsidRPr="00000000" w:rsidDel="00000000">
        <w:rPr>
          <w:rtl w:val="0"/>
        </w:rPr>
        <w:t xml:space="preserve">(ieskaitot), un projekta iesnieguma maksimālais Eiropas Reģionālās attīstības fonda finansējuma apmērs ir 850 000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Eiropas Reģionālās attīstības fonda maksimālā finansējuma likme nepārsniedz 85 procentus no projekta kopējām attiecināmajām izmaksām. Valsts budžeta līdzfinansējums valsts iestādēm, valsts kapitālsabiedrībām un atvasinātām publiskām personām (augstskolām un zinātniskajiem institūtiem) ir 15 procenti no projekta kopējām attiecināmajām izmaksām. Valsts kapitālsabiedrībai valsts budžeta līdzfinansējums ir pieļaujams par valsts pārvaldes deleģēto uzdevumu izpildi – par valsts nekustamā īpašuma pārvaldību un valsts nekustamā īpašuma attīstības vadību vai deleģēto valsts pārvaldes uzdevumu kultūras jomā veikšanu atbilstoši līgumiem, kas noslēgti ar Kultūras ministriju par valsts pārvaldes uzdevumu deleģēšanu kultūras jomā un to finansēšanu.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Specifiskā atbalsta ietvaros tiek piemērota teritoriālā pieeja, paredzot, ka katrā plānošanas reģionā tiek atbalstīts vismaz viens projekta iesniegums, kas atbilst specifiskā atbalsta īstenošanas nosacījumiem. Projekta iesnieguma īstenošanas reģions tiek noteikts atbilstoši tās infrastruktūras faktiskajai adresei, kurā tiek veikti ieguldījumi. Projekta iesniegumu ranžēšanas nosacījumi tiek noteikti specifiskā atbalsta projekta iesniegumu atlases nolikumā.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Projektam, kam atbalsta sniegšana specifiskā atbalsta mērķa ietvaros ir kvalificējama kā komercdarbības atbalsts, atbalsta summa, kas ietver Eiropas Reģionālās attīstības fonda finansējumu un citu publisko finansējumu, atbilstoši Komisijas 2014. gada 17. jūnija Regulas (ES) Nr. 651/2014, ar ko noteiktas atbalsta kategorijas atzīst par saderīgām ar iekšējo tirgu, piemērojot Līguma 107. un 108. pantu (turpmāk – regula Nr. 651/2014), 53. panta 6. punktam nepārsniedz starpību starp šo noteikumu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minētajām tiešajām attiecināmajām izmaksām un pamatdarbības peļņu no ieguldījuma. Pamatdarbības peļņu atskaita no tiešajām attiecināmajām izmaksām iepriekš saskaņā ar pamatotām prognozēm vai izmanto atgūšanas mehānismu. Finansējuma saņēmējam, kas ekspluatē ēku, kurā īstenotas projekta aktivitātes, ir ļauts projekta pārskata periodā paturēt samērīgu peļņu. Šo noteikumu ietvaros samērīgas peļņas definīcija atbilst regulas Nr. 651/2014 2. panta 142. punktam un pamatdarbības peļņas definīcija atbilst regulas Nr. 651/2014 2. panta 39. 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iesniedzējam un sadarbības partnerim projekta ietvaros pieejamo publiskā finansējuma apmēru nosaka,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projektam atbalsta sniegšana specifiskā atbalsta ietvaros nav kvalificējama kā komercdarbības atbalsts, projekta iesniedzējam un sadarbības partnerim publiskais finansējums nepārsniedz 100 procentus;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projektam atbalsta sniegšana specifiskā atbalsta ietvaros ir kvalificējama kā komercdarbības atbalsts, valsts iestādei, valsts un pašvaldības kapitālsabiedrībai, pašvaldībai vai tās izveidotai iestādei publiskais finansējums nepārsniedz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minētā aprēķina finanšu iztrūkumu.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un sadarbības partneris nodrošina projekta līdzfinansējumu šādā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projektam atbalsta sniegšana specifiskā atbalsta ietvaros nav kvalificējama kā komercdarbības atbalsts, projekta iesniedzēja un sadarbības partnera līdzfinansējums nav mazāks par 15 procentiem no projekta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projektam atbalsta sniegšana specifiskā atbalsta ietvaros ir kvalificējama kā komercdarbības atbalsts, projekta iesniedzēja un sadarbības partnera privātā līdzfinansējuma apmēru nosaka, ņemot vērā, ka publiskais finansējums nepārsniedz aprēķināto finanšu iztrūkumu. Projekta iesniedzējs līdzfinansējumu nodrošina no tādiem pašu līdzekļiem, par kuriem nav saņemts nekāds publisks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Specifiskā atbalsta ietvaros projekta iesniedzējs var iesniegt vienu projekta iesniegumu. Ar projekta iesniedzēju, kas iesniedzis projekta iesniegumu specifiskā atbalsta ietvaros, vienlaikus nevar slēgt sadarbības līgumu kā ar sadarbības partneri cita projekta iesnieguma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sadarbības iestādei ir pieejami valsts budžeta līdzekļi, tā, pamatojoties uz finansējuma saņēmēja rakstisku avansa pieprasījumu un izvērtējot plānotā avansa apmēru un tā pamatojumu, pēc vienošanās vai līguma par projekta īstenošanu noslēgšanas var piešķirt avansu finansējuma saņēmējam, kas nav valsts pārvaldes iestāde. Finansējuma saņēmējs – pašvaldība –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finansējuma un valsts budžeta līdzfinansējuma kopsummas, ja tas paredzēts projektā, ievērojot, ka avansu var izmaksāt vairākos maksājumos un avansa un starpposma maksājumu kopsumma atvasinātai publiskai personai, pašvaldībai, pašvaldības iestādei, valsts un pašvaldības kapitālsabiedrībai vai citai privāto tiesību juridiskai personai nepārsniedz 90 procentus, bet biedrībai un nodibinājumam – 95 procentus no projektam piešķirtā Eiropas Reģionālās attīstības fonda un valsts budžeta finansējuma kopsummas.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20.05.2025. noteikumu Nr. 294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kurš pēc projekta iesnieguma apstiprināšanas ir finansējuma saņēmējs,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nodibinājums un cita privāto tiesību juridiska persona, valsts iestāde, atvasināta publiska persona, valsts kapitālsabiedrība vai pašvaldības kapitālsabiedrība, kuras pamatdarbība ir kultūras vai radošajā nozarē;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kas projekta īstenošanai piesaista sadarbības partneri, kura pamatdarbība ir kultūras vai radošajā nozarē, ja pašvaldība nav izveidojusi iestādi, kas darbojas kultūras vai radošajā nozarē;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20.05.2025. noteikumiem Nr. 294).</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20.05.2025. noteikumiem Nr. 294)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specifiskā atbalsta ietvaros projekta īstenošanai var piesaistīt sadarbības partneri: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biedrību, nodibinājumu vai citu privāto tiesību juridisku personu, valsts iestādi, atvasinātu publisku personu, valsts kapitālsabiedrību vai pašvaldības kapitālsabiedrību, kuras pamatdarbība ir kultūras vai radošajā nozarē;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iestādi, atvasinātu publisku personu, valsts kapitālsabiedrību vai pašvaldības kapitālsabiedrību, kuras īpašumā, turējumā, lietošanā vai valdījumā atrodas objekts, kurā plānotas investīcijas.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20.05.2025. noteikumu Nr. 294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projekta īstenošanai var piesaistīt vienu vai vairākus sadarbības partnerus. Projekta iesniedzējs ar katru sadarbības partneri slēdz rakstveida sadarbības līgumu par pušu pienākumiem, tiesībām un atbildību projekta mērķa un rādītāju sasniegšanā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Īpašuma, turējuma, lietošanas vai valdījuma tiesības attiecībā uz atbalstītajiem objektiem nemaina un ieguldījums paliek Latvijas Republikas teritorijā vismaz piecus gadus pēc noslēguma maksājuma veikšanas finansējuma saņēmējam. Īpašuma, turējuma, lietošanas vai valdījuma tiesības nostiprina zemesgrāmatā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 Ja īpašuma, turējuma, lietošanas vai valdījuma tiesības nav nostiprinātas zemesgrāmatā līdz projekta iesnieguma iesniegšanas dienai, tās nostiprina zemesgrāmatā līdz projekta noslēguma maksājuma veikšanai.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20.05.2025. noteikumu Nr. 294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atbalsts ir kvalificējams kā komercdarbības atbalsts, projekta iesniedzējs nedrīkst saņemt finansējumu un sadarbības partneris nevar tikt iesaistīts projekta īstenošanā, ja uz atbalsta piešķiršanas brīdi: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un/vai sadarbības partneris (ja attiecināms) atbilst grūtībās nonākuša komersanta statusam, šo nosacījumu vērtējot uzņēmumu grupas līmenī saskaņā ar regulas Nr. 651/2014 2. panta 18. punkta definīciju;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pašvaldībā atbilstoši likumam "Par pašvaldību finanšu stabilizēšanu un pašvaldību finansiālās darbības uzraudzību" ir uzsākts finanšu stabilizācijas process.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Specifiskā atbalsta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veic izmaksu un ieguvumu analīzi, ievērojot, ka projekta ekonomiskā ienesīguma norma ir lielāka par sociālo diskonta likmi un projekta ekonomiskā neto pašreizējā vērtība ir lielāka par nulli,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kopējās attiecināmās izmaksas ir vismaz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pretendē uz komercdarbības atbalstu saskaņā ar regulas Nr. 651/2014 53. pantu.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vai sadarbības partneris ir apzinājis mērķa grupas vajadzības, un projekta ietvaros paredzēts strādāt ar sociāli mazaizsargātām grupām ar zemu kultūras līdzdalības īpatsvaru, projekta īstenošanā piesaistot ekspertus vai sadarbības partneri, kam ir pieredze sociāli iekļaujoša kultūras satura veidošanā.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iesniegumā plānotie infrastruktūras attīstības darbi ir pamatoti, ja tie nepieciešami, lai īstenotu organizācijas darbības stratēģijā plānotos kultūras pakalpojumus un veicinātu līdztiesību kultūras norišu vides piekļūstamībā.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ietvaros visām paredzētajām būvniecības darbībām sagatavots projektēšanas uzdevums par būvniecības ieceres dokumentu sagatavošanu vai iesniegta būvvaldes izziņa, kas apliecina, ka minētie dokumenti nav nepieciešami, un iesniegta indikatīva būvdarbu izmaksu aplēse (tāme).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iesniedzējam vai sadarbības partnerim, kura pamatdarbība ir kultūras vai radošajā nozarē, uz projekta iesniegšanas dienu ir izstrādāta organizācijas darbības stratēģija, kurā noteikti vidēja termiņa darbības mērķi, kas liecina par sabiedrības ieguvumiem no projektā attīstītajiem pakalpojumiem un paredz veicināt kultūras pakalpojumu piekļūstamību, tostarp attīstot pakalpojumus vismaz vienai sociāli mazaizsargāto iedzīvotāju grupai.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Specifiskais atbalsts tiek īstenots, ievērojot: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Jaunā Eiropas </w:t>
      </w:r>
      <w:r w:rsidR="00000000" w:rsidRPr="00000000" w:rsidDel="00000000">
        <w:rPr>
          <w:i w:val="1"/>
          <w:rtl w:val="0"/>
        </w:rPr>
        <w:t xml:space="preserve">Bauhaus</w:t>
      </w:r>
      <w:r w:rsidR="00000000" w:rsidRPr="00000000" w:rsidDel="00000000">
        <w:rPr>
          <w:rtl w:val="0"/>
        </w:rPr>
        <w:t xml:space="preserve"> principus: estētiku, ilgtspēju un iekļautību, tai skaitā iekļaujot publiskās ārtelpas attīstības risinājumus apkārtējā ainavā un nodrošinot dabā balstīto risinājumu un universālā dizaina principu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Starptautiskās kultūras pieminekļu un ievērojamu vietu padomes izstrādātos kvalitātes principus Eiropas Savienības finansētiem pārveidojumiem, kas var ietekmēt kultūras mantojumu.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specifiskā atbalsta ietvaros plānotais atbalsts nepārklājas ar citiem valsts un ārvalstu finanšu atbalsta instrumentiem, kā arī nodrošina dubultā finansējuma neiestāšanos;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projektu, nodrošina komunikācijas un vizuālās identitātes prasību ievērošanu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un sadarbības partneris: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sasniegtajām šo noteikumu </w:t>
      </w:r>
      <w:r w:rsidR="00000000" w:rsidRPr="00000000" w:rsidDel="00000000">
        <w:rPr>
          <w:rtl w:val="0"/>
        </w:rPr>
        <w:t xml:space="preserve">9.2.1.</w:t>
      </w:r>
      <w:r w:rsidR="00000000" w:rsidRPr="00000000" w:rsidDel="00000000">
        <w:rPr>
          <w:rtl w:val="0"/>
        </w:rPr>
        <w:t xml:space="preserve"> apakšpunktā</w:t>
      </w:r>
      <w:r w:rsidR="00000000" w:rsidRPr="00000000" w:rsidDel="00000000">
        <w:rPr>
          <w:rtl w:val="0"/>
        </w:rPr>
        <w:t xml:space="preserve"> minētā iznākuma rādītāja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projektā sasniegtajām šo noteikumu </w:t>
      </w:r>
      <w:r w:rsidR="00000000" w:rsidRPr="00000000" w:rsidDel="00000000">
        <w:rPr>
          <w:rtl w:val="0"/>
        </w:rPr>
        <w:t xml:space="preserve">9.2.2.</w:t>
      </w:r>
      <w:r w:rsidR="00000000" w:rsidRPr="00000000" w:rsidDel="00000000">
        <w:rPr>
          <w:rtl w:val="0"/>
        </w:rPr>
        <w:t xml:space="preserve"> apakšpunktā</w:t>
      </w:r>
      <w:r w:rsidR="00000000" w:rsidRPr="00000000" w:rsidDel="00000000">
        <w:rPr>
          <w:rtl w:val="0"/>
        </w:rPr>
        <w:t xml:space="preserve"> minētā rezultāta rādītāja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horizontālā principa rādītāju "Objektu skaits, kuros ir nodrošināta vides un informācijas piekļūstamība" un citiem rādītājiem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33.3.</w:t>
      </w:r>
      <w:r w:rsidR="00000000" w:rsidRPr="00000000" w:rsidDel="00000000">
        <w:rPr>
          <w:rtl w:val="0"/>
        </w:rPr>
        <w:t xml:space="preserve"> apakšpunktā</w:t>
      </w:r>
      <w:r w:rsidR="00000000" w:rsidRPr="00000000" w:rsidDel="00000000">
        <w:rPr>
          <w:rtl w:val="0"/>
        </w:rPr>
        <w:t xml:space="preserve"> minētajiem horizontālo principu rādītājiem;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publisko iepirkumu reglamentējošiem normatīvajiem aktiem, īstenojot atklātu, pārredzamu, nediskriminējošu un konkurenci nodrošinošu konkursa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ievēro, ka ir atbalstāms sociāli atbildīgs un inovatīvs iepirkums un vides prasību integrācija preču un pakalpojumu iepirkumos;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interešu konflikta neesību;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projekta ietvaros sasniegto rezultātu ilgtspēju vismaz piecus gadus pēc noslēguma maksājuma veikšanas.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20.05.2025. noteikumiem Nr. 294)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Projektā iekļauj atbalstāmās darbības, kas sekmē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minētā specifiskā atbalsta mērķa un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w:t>
      </w:r>
      <w:r w:rsidR="00000000" w:rsidRPr="00000000" w:rsidDel="00000000">
        <w:rPr>
          <w:rtl w:val="0"/>
        </w:rPr>
        <w:t xml:space="preserve"> minēto uzraudzības rādītāju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sociālo iekļaušanu orientētu jaunu kultūras pakalpojumu radīšana vai esošo kultūras pakalpojumu pielāgošana sociāli mazaizsargātam iedzīvotāju grupām, tostarp kultūras pakalpojumu saturiskā tvēruma paplašināšana un kultūras pakalpojumu piekļūstamības nodrošināšana;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vajadzībās balstīta kultūras piedāvājuma īstenošana, kas veicina dialogu ar sociāli mazaizsargātām sabiedrības grupām;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profesionālo kompetenču pilnveidošana, attīstot prasmes, kas nepieciešamas kvalitatīvu, mērķauditorijas vajadzībās balstītu pakalpojumu sniegšanai;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infrastruktūras attīstīšana un materiālu, aprīkojuma un iekārtu noma un iegāde kultūras piedāvājuma izveides nolūkos;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izmaksas ir attiecināmas no šo noteikumu spēkā stāšanās dienas, ievērojot, ka projektā neiekļauj darbības, kas vienošanās vai līguma par projekta īstenošanu noslēgšanas brīdī ir pabeigtas.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procentu apmērā no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tiešās attiecināmās izmaksas, kas sekmē šo noteikumu </w:t>
      </w:r>
      <w:r w:rsidR="00000000" w:rsidRPr="00000000" w:rsidDel="00000000">
        <w:rPr>
          <w:rtl w:val="0"/>
        </w:rPr>
        <w:t xml:space="preserve">34.</w:t>
      </w:r>
      <w:r w:rsidR="00000000" w:rsidRPr="00000000" w:rsidDel="00000000">
        <w:rPr>
          <w:rtl w:val="0"/>
        </w:rPr>
        <w:t xml:space="preserve"> punktā</w:t>
      </w:r>
      <w:r w:rsidR="00000000" w:rsidRPr="00000000" w:rsidDel="00000000">
        <w:rPr>
          <w:rtl w:val="0"/>
        </w:rPr>
        <w:t xml:space="preserve"> minētās atbalstāmās darbības,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personāla izmaksas, kas tieši saistītas ar projekta īstenošanu un mērķa sasniegšanu un radušās uz darba līguma pamata. Ja personāla atlīdzībai piemēro daļlaika attiecināmības principu, finansējuma saņēmējs veic personāla darba laika uzskaiti par nostrādāto laiku un veiktajām funkcijām;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pamatojošās dokumentācijas sagatavošanas izmaksas (izņemot projekta iesnieguma veidlapas aizpildīšanas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būvprojekta minimālā sastāvā, apliecinājuma kartes vai paskaidrojuma raksta izstrāde visām projektā paredzētajām darbībām;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kultūrvēsturiskās un arheoloģiskās izpētes un kultūrvēsturiskās inventarizācijas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pakalpojuma tehniskā projekta izstrādes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audita, ekspertīzes un izpētes izmaksas, ja to veikšana ir priekšnosacījums būvprojekta, būvdarbu ieceres dokumentācijas vai būvprojekta minimālā sastāvā izstrādei;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izmaksu un ieguvumu analīzes izstrādes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ekspertu izmaksas, kas ir tieši saistītas ar investīcijām infrastruktūrā, tai skaitā būvuzraudzības, autoruzraudzības un arheoloģiskās uzraudzības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būvdarbu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ēku, būvju un ar tām saistītās infrastruktūras pārbūve, konservācija, atjaunošana vai restaurācija;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ietvaros atjaunoto, konservēto, pārbūvēto vai restaurēto būvju funkcionalitātes nodrošināšanai nepieciešamo inženiertīklu (tai skaitā ūdensvada, sadzīves kanalizācijas, lietusūdens kanalizācijas, elektrības, elektronisko sakaru, siltumapgādes, ventilācijas, klimata kontroles un ugunsdzēsības sistēmas) atjaunošana, pārbūve vai būvniecība;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inženierinfrastruktūras pārbūve vai funkcionāls savienojums, tai skaitā lietusūdens kanalizācijas infrastruktūras izbūve vai pārbūve (piegulošo inženiertīklu pārbūves izmaksas attiecināmas tikai tad, ja tiek nodrošināts sertificēta būvinženiera atzinums, kurā konstatēts, ka, projekta ietvaros veicot plānotos ieguldījumus noteiktās teritorijās, nav iespējams izvairīties no minētās infrastruktūras bojāšanas vai pārbūves, un ieguldījumi inženiertīklu pārbūvē tiek veikti, nemainot inženiertīklu tehniskos parametrus un neradot priekšrocības to īpašniekiem);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 kas nepieciešama teritorijas un objektu funkcionalitātes nodrošināšanai;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aprīkošana un pielāgošana pakalpojumu sniegšanai, kas nepieciešama būves vai tās daļas pieņemšanai ekspluatācijā;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pakalpojuma izveides izmaksas, tai skaitā materiālu, aprīkojuma un iekārtu nomas, iegādes un uzstādīšanas izmaksas un informācijas tehnoloģiju risinājumu izstrādes, iegādes, atjaunošanas un modernizēšanas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darba vietas aprīkojuma iegādes vai nomas izmaksas, tai skaitā aprīkojuma uzturēšanas un remonta izmaksas, finansējuma saņēmēja projekta vadības un īstenošanas personālam jaunu darba vietu radīšanai vai gadījumā, ja esošo darba vietu aprīkojums ir nolietojies un tiek norakstīts, – ne vairāk kā 3000 euro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kultūras pakalpojumu īstenošanu saistītas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personāla iekšzemes komandējumu un darba braucienu izmaksas. Minētās izmaksas tiek segtas atbilstoši Finanšu ministrijas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degvielas izmaksas vieglajam transportlīdzeklim un reģionālās starppilsētu nozīmes un reģionālās vietējas nozīmes sabiedriskā transporta izmaksas. Minētās izmaksas tiek segtas atbilstoši Finanšu ministrijas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transportlīdzekļu nomas un transporta pakalpojumu pirkšanas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ārpakalpojuma izmaksas, tai skaitā ekspertu konsultāciju izmaksas, autoratlīdzības izmaksas, honorāri;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pasākumu īstenošanas izmaksas, tai skaitā materiālu, aprīkojuma un iekārtu nomas, iegādes un uzstādīšanas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kultūras pakalpojumu izrādīšanu saistītas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profesionālo kompetenču pilnveidošanas un pieredzes apmaiņas organizēšanas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komunikācijas un vizuālās identitātes prasību nodrošināšanas pasākumu izmaksas saskaņā ar regulas Nr. 2021/1060 47. un 50. pantu un normatīvajiem aktiem par kārtību, kādā Eiropas Savienības fondu vadībā iesaistītās institūcijas nodrošina šo fondu ieviešanu 2021.–2027. gada plānošanas periodā. Ja projektam sniegtais atbalsts ir uzskatāms par komercdarbības atbalstu, publicitātes izmaksas var būt attiecināmas projekta ietvaros, nepiemērojot komercdarbības atbalsta regulējumu;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īstenošanai, kas nepieciešamas, lai nodrošinātu atbilstību vides un informācijas piekļūstamības prasībām, tai skaitā: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zīmju valodas tulku, vieglās valodas tulkošanas, reāllaika transkripcijas un subtitru nodrošināšanas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ekspertu konsultāciju izmaksas par dzimumu līdztiesības, personu ar invaliditāti vienlīdzīgu iespēju, vecuma nediskriminācijas, etniskās un citas piederības pamattiesību jautājumiem.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37.2.</w:t>
      </w:r>
      <w:r w:rsidR="00000000" w:rsidRPr="00000000" w:rsidDel="00000000">
        <w:rPr>
          <w:rtl w:val="0"/>
        </w:rPr>
        <w:t xml:space="preserve"> un </w:t>
      </w:r>
      <w:r w:rsidR="00000000" w:rsidRPr="00000000" w:rsidDel="00000000">
        <w:rPr>
          <w:rtl w:val="0"/>
        </w:rPr>
        <w:t xml:space="preserve">37.3.</w:t>
      </w:r>
      <w:r w:rsidR="00000000" w:rsidRPr="00000000" w:rsidDel="00000000">
        <w:rPr>
          <w:rtl w:val="0"/>
        </w:rPr>
        <w:t xml:space="preserve"> apakšpunktā</w:t>
      </w:r>
      <w:r w:rsidR="00000000" w:rsidRPr="00000000" w:rsidDel="00000000">
        <w:rPr>
          <w:rtl w:val="0"/>
        </w:rPr>
        <w:t xml:space="preserve"> minētās izmaksas kopā nepārsniedz 10 procentus no projektā plānotajām kopējām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Neparedzētie izdevumi nepārsniedz piecus procentus no projekta kopējām tiešajām attiecināmajām izmaksām, un to izlietošanu finansējuma saņēmējs saskaņo ar sadarbības iestādi, ievērojot vienošanos vai līgumu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Nr. 2021/1060 64. panta 1. punkta "c" apakšpunktā ietvertajiem nosacījumiem, ja tas nav atgūstams saskaņā ar attiecīgās valsts tiesību aktiem pievienotās vērtības nodokļa 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projekta izmaksas ir pieaugušas, finansējuma saņēmējs un sadarbības partneris sedz sadārdzinājumu no saviem līdzekļiem. Ja atbalsta sniegšana specifiskā atbalsta ietvaros ir kvalificējama kā komercdarbības atbalsts, projekta iesniedzējs un sadarbības partneris privāto finansējumu nodrošina no tādiem pašu līdzekļiem, par kuriem nav saņemts nekāds publisks atbalsts.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Komercdarbības atbalsta saņemšanas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Komercdarbības atbalstu šo noteikumu ietvaros sniedz saskaņā ar regulas Nr. 651/2014 53. panta 3. punkta "a" un "b" apakšpunktā noteiktajiem atbalsta veidiem un 4. un 5. punktā noteiktajām attiecināmajām izmaksām.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Projektam netiek piemēroti regulas Nr. 651/2014 53. panta nosacījumi jeb sniegtais atbalsts nav uzskatāms par komercdarbības atbalstu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nav saimnieciska rakstura, jo pašu ieņēmumi atbalstītajā objektā ir 50 procenti vai mazāki par 50 procentiem no kultūras jomas pakalpojumu sniedzēja gada budžeta atbalstītajā objektā;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pašu ieņēmumi atbalstītajā objektā ir lielāki par 50 procentiem no kultūras jomas pakalpojumu sniedzēja gada budžeta, tad projektam ir saimniecisks raksturs, tomēr tas nav kvalificējams kā atbalsts komercdarbībai, ja projektam nav ietekmes uz konkurenci un tirdzniecību Eiropas Savienības iekšējā tirgū, ko vērtē atbilstoši kādam no šādiem kritērijiem: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visiem kultūras jomā sniegto pakalpojumu saņēmējiem vai atbalstītā objekta apmeklētājiem gadā 85 procenti vai vairāk ir Latvijas iedzīvotāji;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īstenotie kultūras pasākumi pārsvarā notiek latviešu valodā;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objekts netiek plaši reklamēts ārpus Latvijas teritorijas, tai skaitā netiek veiktas starptautiskas mārketinga aktivitātes un citas darbības pārrobežu reklāmas jomā.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pārskata periodā finansējuma saņēmējs atbilstoši Kultūras ministrijas izstrādātajai komercdarbības atbalsta piemērošanas metodikai specifiskā atbalsta ietvaros reizi gadā līdz kārtējā gada 1. jūnijam iesniedz sadarbības iestādē informāciju, kas nepieciešama, lai izvērtētu, vai kultūras nozares projekts atbilst šo noteikumu </w:t>
      </w:r>
      <w:r w:rsidR="00000000" w:rsidRPr="00000000" w:rsidDel="00000000">
        <w:rPr>
          <w:rtl w:val="0"/>
        </w:rPr>
        <w:t xml:space="preserve">44.1.</w:t>
      </w:r>
      <w:r w:rsidR="00000000" w:rsidRPr="00000000" w:rsidDel="00000000">
        <w:rPr>
          <w:rtl w:val="0"/>
        </w:rPr>
        <w:t xml:space="preserve"> apakšpunktā</w:t>
      </w:r>
      <w:r w:rsidR="00000000" w:rsidRPr="00000000" w:rsidDel="00000000">
        <w:rPr>
          <w:rtl w:val="0"/>
        </w:rPr>
        <w:t xml:space="preserve"> minētajiem nosacījumiem.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minētās izmaksas ir attiecināmas atbilstoši regulas Nr. 651/2014 53. panta 4. punktam kā ieguldījumu atbalsta izmaksas, ja tās ir ieguldījumi materiālajos aktīvos, kā noteikts regulas Nr. 651/2014 2. panta 29. punktā, vai nemateriālajos aktīvos, kā noteikts regulas Nr. 651/2014 2. panta 30. punktā, un veido pamatlīdzekļa vērtību, izņemot šo noteikumu </w:t>
      </w:r>
      <w:r w:rsidR="00000000" w:rsidRPr="00000000" w:rsidDel="00000000">
        <w:rPr>
          <w:rtl w:val="0"/>
        </w:rPr>
        <w:t xml:space="preserve">37.8.</w:t>
      </w:r>
      <w:r w:rsidR="00000000" w:rsidRPr="00000000" w:rsidDel="00000000">
        <w:rPr>
          <w:rtl w:val="0"/>
        </w:rPr>
        <w:t xml:space="preserve">, </w:t>
      </w:r>
      <w:r w:rsidR="00000000" w:rsidRPr="00000000" w:rsidDel="00000000">
        <w:rPr>
          <w:rtl w:val="0"/>
        </w:rPr>
        <w:t xml:space="preserve">37.9.</w:t>
      </w:r>
      <w:r w:rsidR="00000000" w:rsidRPr="00000000" w:rsidDel="00000000">
        <w:rPr>
          <w:rtl w:val="0"/>
        </w:rPr>
        <w:t xml:space="preserve">, </w:t>
      </w:r>
      <w:r w:rsidR="00000000" w:rsidRPr="00000000" w:rsidDel="00000000">
        <w:rPr>
          <w:rtl w:val="0"/>
        </w:rPr>
        <w:t xml:space="preserve">37.10.</w:t>
      </w:r>
      <w:r w:rsidR="00000000" w:rsidRPr="00000000" w:rsidDel="00000000">
        <w:rPr>
          <w:rtl w:val="0"/>
        </w:rPr>
        <w:t xml:space="preserve"> un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minētās izmaksas, kuras atbilstoši regulas Nr. 651/2014 53. panta 5. punktam ir attiecināmas kā darbības atbalsta izmaksas.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Komercdarbības atbalstu finansējuma saņēmējam piešķir saskaņā ar regulu Nr. 651/2014, ja ievēroti visi šajā punktā minētie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atbalstāmā darbība atbilst vienam vai vairākiem regulas Nr. 651/2014 53. panta 2. punkta "a", "b", "c", "d" vai "e" apakšpunktā norādītajiem mērķiem un darbībām un ir ievēroti regulas Nr. 651/2014 1. panta 2. punkta "c" un "d" apakšpunktā, 3. punktā un 4. punkta "a" apakšpunktā minētie nosacījumi, pēdējo nosacījumu vērtējot uzņēmumu grupas līmenī;</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komercdarbības atbalstu, kurš tiek sniegts saskaņā ar regulas Nr. 651/2014 53. pantu vienam vai vairākiem 53. panta 2. punkta "a", "b", "c", "d" un "e" apakšpunktā minētajiem mērķiem vai darbībām, papildus ir ievērots nosacījums, ka atbalstu nesniedz regulas Nr. 651/2014 53. panta 10. punktā minētajām nozarēm;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ievēroti regulas Nr. 651/2014 1. panta 3. punkta nosacījumi par nozarēm, kurām nepiemēro regulu Nr. 651/2014 un kurām tiek nodrošināta izmaksu nošķiršana tādējādi, ka darbības izslēgtajās nozarēs negūst labumu no atbalsta, kas piešķirts saskaņā ar regulu Nr. 651/2014;</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saņēmējs un sadarbības partneris projekta iesniegumam pievienojis apliecinājumu, kas apliecina atbilstību regulas Nr. 651/2014 2. panta 18. punkta "c" apakšpunkta nosacījumiem, šo nosacījumu vērtējot uzņēmumu grupas līmenī;</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ievērots nosacījums, ka vismaz 80 procentu no infrastruktūras gada jaudas laika vai platības izteiksmē izmanto kultūras mērķim, šo nosacījumu piemērojot tikai regulas Nr. 651/2014 53. pantā 2. punkta "a" apakšpunktā minētajām kultūras darbībām.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Lēmumu par atbalsta piešķiršanu saskaņā ar regulu Nr. 651/2014 pieņem līdz regulas Nr. 651/2014 58. panta 4. punktā un 59. pantā noteiktajam termiņam.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Par atbalsta piešķiršanas dienu uzskatāma diena, kad sadarbības iestāde pieņēmusi lēmumu par projekta iesnieguma apstiprināšanu vai sniegusi atzinumu par lēmumā noteikto nosacījumu izpildi, ja iepriekš pieņemts lēmums par projekta iesnieguma apstiprināšanu ar nosacījumu.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Atbalstītajā objektā šo noteikumu </w:t>
      </w:r>
      <w:r w:rsidR="00000000" w:rsidRPr="00000000" w:rsidDel="00000000">
        <w:rPr>
          <w:rtl w:val="0"/>
        </w:rPr>
        <w:t xml:space="preserve">44.1.</w:t>
      </w:r>
      <w:r w:rsidR="00000000" w:rsidRPr="00000000" w:rsidDel="00000000">
        <w:rPr>
          <w:rtl w:val="0"/>
        </w:rPr>
        <w:t xml:space="preserve"> apakšpunktā</w:t>
      </w:r>
      <w:r w:rsidR="00000000" w:rsidRPr="00000000" w:rsidDel="00000000">
        <w:rPr>
          <w:rtl w:val="0"/>
        </w:rPr>
        <w:t xml:space="preserve"> minētajā gadījumā ir pieļaujams veikt papildpakalpojumus, kuri tiek veikti ar saimniecisko darbību nesaistītā infrastruktūrā un kuriem nebūtu ietekmes uz tirdzniecību un konkurenci Eiropas Savienības iekšējā tirgū.</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Komercdarbības atbalstu šo noteikumu ietvaros drīkst apvienot ar citu komercdarbības atbalstu, tai skaitā ar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nepārsniedzot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starpību starp tiešajām attiecināmajām izmaksām un pamatdarbības peļņu no ieguldījuma, kā arī citā valsts atbalsta programmā, </w:t>
      </w:r>
      <w:r w:rsidR="00000000" w:rsidRPr="00000000" w:rsidDel="00000000">
        <w:rPr>
          <w:i w:val="1"/>
          <w:rtl w:val="0"/>
        </w:rPr>
        <w:t xml:space="preserve">ad hoc</w:t>
      </w:r>
      <w:r w:rsidR="00000000" w:rsidRPr="00000000" w:rsidDel="00000000">
        <w:rPr>
          <w:rtl w:val="0"/>
        </w:rPr>
        <w:t xml:space="preserve"> atbalsta projektā vai Eiropas Komisijas lēmumā noteikto maksimālā atbalsta summu un atbalsta intensitāti.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Sadarbības iestāde nodrošina: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651/2014 9. panta 1. punkta "c" apakšpunktā un 4. punktā noteikto publicitātes pasākumu izpildi atbilstoši normatīvajam aktam par kārtību, kādā publicē informāciju par sniegto komercdarbības atbalstu;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651/2014 12. panta 1. punktā noteikto nosacījumu izpildi.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Finansējuma saņēmējs ar komercdarbības atbalstu saistīta projekta dokumentāciju glabā visu projekta pārskata periodu, sākot no dienas, kad tam ir piešķirts komercdarbības atbalsts saskaņā ar šiem noteikumiem.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komercdarbības atbalstu sniedz saskaņā ar regulas Nr. 651/2014 53. pantu un attiecīgajā projektā vai projekta daļā projekta pārskata periodā ir radusies lielāka peļņa no pamatdarbības (neskaitot samērīgas peļņas daļu, kas atbilst tipiskai peļņai kultūras nozares attiecīgajā jomā Latvijas Republikā), nekā projektā plānots, finansējuma saņēmējs projekta pārskata perioda beigās veic šo noteikumu </w:t>
      </w:r>
      <w:r w:rsidR="00000000" w:rsidRPr="00000000" w:rsidDel="00000000">
        <w:rPr>
          <w:rtl w:val="0"/>
        </w:rPr>
        <w:t xml:space="preserve">26.</w:t>
      </w:r>
      <w:r w:rsidR="00000000" w:rsidRPr="00000000" w:rsidDel="00000000">
        <w:rPr>
          <w:rtl w:val="0"/>
        </w:rPr>
        <w:t xml:space="preserve"> punktā</w:t>
      </w:r>
      <w:r w:rsidR="00000000" w:rsidRPr="00000000" w:rsidDel="00000000">
        <w:rPr>
          <w:rtl w:val="0"/>
        </w:rPr>
        <w:t xml:space="preserve"> minētās izmaksu un ieguvumu analīzes pārrēķinu un atmaksā sadarbības iestādei starpību starp faktisko un plānoto peļņu no pamatdarbības.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projekts tā ieviešanas gaitā vai projekta pārskata periodā kļūst par projektu, kura ietvaros tiek sniegts komercdarbības atbalsts, tiek piemēroti regulas Nr. 651/2014 53. panta nosacījumi. Ja regulas Nr. 651/2014 53. panta nosacījumus nav iespējams piemērot, piešķirtais atbalsts ir nelikumīgs komercdarbības atbalsts un atbalsta sniedzējs piemēro šo noteikumu </w:t>
      </w:r>
      <w:r w:rsidR="00000000" w:rsidRPr="00000000" w:rsidDel="00000000">
        <w:rPr>
          <w:rtl w:val="0"/>
        </w:rPr>
        <w:t xml:space="preserve">57.</w:t>
      </w:r>
      <w:r w:rsidR="00000000" w:rsidRPr="00000000" w:rsidDel="00000000">
        <w:rPr>
          <w:rtl w:val="0"/>
        </w:rPr>
        <w:t xml:space="preserve"> punktā</w:t>
      </w:r>
      <w:r w:rsidR="00000000" w:rsidRPr="00000000" w:rsidDel="00000000">
        <w:rPr>
          <w:rtl w:val="0"/>
        </w:rPr>
        <w:t xml:space="preserve"> minētās nelikumīgā komercdarbības atbalsta atgūšanas normas.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sadarbības iestāde atbalstītajā objektā konstatē komercdarbības atbalstu, tā par to informē finansējuma saņēmēju, un finansējuma saņēmējs 10 darbdienu laikā no informācijas pieprasījuma nosūtīšanas brīža sniedz sadarbības iestādei informāciju, norādot, vai par tām pašām attiecināmajām izmaksām ir plānots piešķirt atbalstu, vai, ja tas jau ir piešķirts, norādot atbalsta piešķiršanas datumu, atbalsta sniedzēja nosaukumu, atbalsta pasākumu, plānoto vai piešķirto atbalsta summu un atbalsta intensitāti.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ir pārkāptas regulas Nr. 651/2014 prasības vai ir konstatēts, ka projekts tā ieviešanas gaitā vai projekta pārskata periodā neatbilst šo noteikumu </w:t>
      </w:r>
      <w:r w:rsidR="00000000" w:rsidRPr="00000000" w:rsidDel="00000000">
        <w:rPr>
          <w:rtl w:val="0"/>
        </w:rPr>
        <w:t xml:space="preserve">44.1.</w:t>
      </w:r>
      <w:r w:rsidR="00000000" w:rsidRPr="00000000" w:rsidDel="00000000">
        <w:rPr>
          <w:rtl w:val="0"/>
        </w:rPr>
        <w:t xml:space="preserve"> apakšpunktā</w:t>
      </w:r>
      <w:r w:rsidR="00000000" w:rsidRPr="00000000" w:rsidDel="00000000">
        <w:rPr>
          <w:rtl w:val="0"/>
        </w:rPr>
        <w:t xml:space="preserve"> minētajiem gadījumiem vai tiek veikta saimnieciskā darbība, kas nav uzskatāma par papildpakalpojumu, un tam nav iespējams piemērot regulas Nr. 651/2014 53. panta nosacījumus, atbalsta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26-TA-2147</w:t>
    </w:r>
    <w:r>
      <w:br/>
    </w:r>
    <w:r w:rsidR="00000000" w:rsidRPr="00000000" w:rsidDel="00000000">
      <w:rPr>
        <w:rtl w:val="0"/>
      </w:rPr>
      <w:t xml:space="preserve">Izdrukāts 29.09.2026. 14.20 - 1.0.VK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26-TA-2147</w:t>
    </w:r>
    <w:r>
      <w:br/>
    </w:r>
    <w:r w:rsidR="00000000" w:rsidRPr="00000000" w:rsidDel="00000000">
      <w:rPr>
        <w:rtl w:val="0"/>
      </w:rPr>
      <w:t xml:space="preserve">Izdrukāts 29.09.2026. 14.20 - 1.0.VK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noteikumu_konsolidētā_versija_26-TA-2147.docx</dc:title>
</cp:coreProperties>
</file>

<file path=docProps/custom.xml><?xml version="1.0" encoding="utf-8"?>
<Properties xmlns="http://schemas.openxmlformats.org/officeDocument/2006/custom-properties" xmlns:vt="http://schemas.openxmlformats.org/officeDocument/2006/docPropsVTypes"/>
</file>