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novembrī (prot. Nr. 59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23 707 </w:t>
      </w:r>
      <w:r w:rsidR="00000000" w:rsidRPr="00000000" w:rsidDel="00000000">
        <w:rPr>
          <w:i w:val="1"/>
          <w:rtl w:val="0"/>
        </w:rPr>
        <w:t xml:space="preserve">euro</w:t>
      </w:r>
      <w:r w:rsidR="00000000" w:rsidRPr="00000000" w:rsidDel="00000000">
        <w:rPr>
          <w:rtl w:val="0"/>
        </w:rPr>
        <w:t xml:space="preserve">, lai nodrošinātu Ukrainas civiliedzīvotājiem, kuri uz 2022. gada 1. septembri ir reģistrēti Valsts izglītības informācijas sistēmā ar apakšstatusu "Ukrainas civiliedzīvotājs", finansējumu mācību līdzekļu iegādei laikposmam no 2022. gada 1. septembra līdz 2022. gada 31. decembrim,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 23 665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 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un Kultūras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22-TA-3264</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22-TA-3264</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rīkojuma_projekts_22-TA-3264.docx</dc:title>
</cp:coreProperties>
</file>

<file path=docProps/custom.xml><?xml version="1.0" encoding="utf-8"?>
<Properties xmlns="http://schemas.openxmlformats.org/officeDocument/2006/custom-properties" xmlns:vt="http://schemas.openxmlformats.org/officeDocument/2006/docPropsVTypes"/>
</file>