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(turpmāk – specifiskais atbalsta mērķis) 5.1.1.5. pasākumu "Unikāla Eiropas mēroga kultūras mantojuma atjaunošana, lai veicinātu to piekļūstamību, attīstot kultūras pakalpojumus"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iesniedzējiem,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saņemšanas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Pasākumā tiek veikti ieguldījumi pilsētu funkcionālajās teritorijās, kas noteiktas plānošanas reģionu attīstības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Kultūras ministrijas kā par kultūras jomas politiku atbildīgās nozares ministrijas saskaņotie plānošanas reģionu attīstības programmās paredzētie pasākuma projekti, kurus īsteno pilsētu funkcionālajās teritorijās.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īstenošanu nodrošina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saņēmējs projektu īsteno saskaņā ar vienošanos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uzraudzības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mērķis ir saglabāt, aizsargāt un attīstīt unikālus valsts nozīmes kultūras pieminekļus, kas atrodas UNESCO Pasaules mantojuma sarakstā iekļautajā teritorijā Rīgas vēsturiskajā centrā, veicinot piekļūstamību objektiem un paplašinot objektu kā ilgtspējīgu resursu inovatīvu izmantošanu cilvēka dzīves kvalitātes uzlabošanā un vietējo iedzīvotāju kopienas stiprināšanā.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mērķa grupa ir iedzīvotāji, vietējie un ārvalstu tūristi, kultūras mantojuma objektu apmeklētāji un saistīto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iznākuma rādītājs: noslēgto līgumu par projekta īstenošanu īpatsvars par ieguldījumiem kultūras un tūrisma objektos – 10 procenti;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atbalstīto kultūras un tūrisma objektu skaits – pieci (tai skaitā divi objekti par valsts budžeta finansējumu, kas pārsniedz pasākumam pieejamo Eiropas Reģionālās attīstības fonda finansējumu);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atbalstīto kultūras un tūrisma vietu apmeklētāji gadā – 827 000.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23.07.2024. noteikumiem Nr. 497)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un pieejamais kopējais attiecināmais finansējums ir 41 803 535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35 533 004 </w:t>
      </w:r>
      <w:r w:rsidR="00000000" w:rsidRPr="00000000" w:rsidDel="00000000">
        <w:rPr>
          <w:i w:val="1"/>
          <w:rtl w:val="0"/>
        </w:rPr>
        <w:t xml:space="preserve">euro</w:t>
      </w:r>
      <w:r w:rsidR="00000000" w:rsidRPr="00000000" w:rsidDel="00000000">
        <w:rPr>
          <w:rtl w:val="0"/>
        </w:rPr>
        <w:t xml:space="preserve"> (no tā 2 526 446 </w:t>
      </w:r>
      <w:r w:rsidR="00000000" w:rsidRPr="00000000" w:rsidDel="00000000">
        <w:rPr>
          <w:i w:val="1"/>
          <w:rtl w:val="0"/>
        </w:rPr>
        <w:t xml:space="preserve">euro</w:t>
      </w:r>
      <w:r w:rsidR="00000000" w:rsidRPr="00000000" w:rsidDel="00000000">
        <w:rPr>
          <w:rtl w:val="0"/>
        </w:rPr>
        <w:t xml:space="preserve"> – valsts budžeta finansējums, kas pārsniedz pasākumam pieejamo Eiropas Reģionālās attīstības fonda finansējumu) un nacionālais finansējums – 6 270 531 </w:t>
      </w:r>
      <w:r w:rsidR="00000000" w:rsidRPr="00000000" w:rsidDel="00000000">
        <w:rPr>
          <w:i w:val="1"/>
          <w:rtl w:val="0"/>
        </w:rPr>
        <w:t xml:space="preserve">euro</w:t>
      </w:r>
      <w:r w:rsidR="00000000" w:rsidRPr="00000000" w:rsidDel="00000000">
        <w:rPr>
          <w:rtl w:val="0"/>
        </w:rPr>
        <w:t xml:space="preserve"> (valsts budžeta līdzfinansējums – 5 388 178 </w:t>
      </w:r>
      <w:r w:rsidR="00000000" w:rsidRPr="00000000" w:rsidDel="00000000">
        <w:rPr>
          <w:i w:val="1"/>
          <w:rtl w:val="0"/>
        </w:rPr>
        <w:t xml:space="preserve">euro </w:t>
      </w:r>
      <w:r w:rsidR="00000000" w:rsidRPr="00000000" w:rsidDel="00000000">
        <w:rPr>
          <w:rtl w:val="0"/>
        </w:rPr>
        <w:t xml:space="preserve">un pašvaldības līdzfinansējums –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12.12.2023. noteikumiem Nr. 737)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12.12.2023. noteikumiem Nr. 737)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Reģionālās attīstības fonda maksimālā finansējuma likme nepārsniedz 85 procentus no projekta kopējām attiecināmajām izmaksām, ja atbalsta sniegšana specifiskā atbalsta ietvaros tam nav kvalificējama kā komercdarbības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Projektam, kam atbalsta sniegšana specifiskā atbalsta mērķa ietvaros ir kvalificējama kā komercdarbības atbalsts, atbalsta summa, kas ietver Eiropas Reģionālās attīstības fonda finansējumu un citu publisko finansējumu, atbilstoši Komisijas 2014. gada 17. jūnija Regulas (ES) Nr. 651/2014, ar ko noteiktas atbalsta kategorijas atzīst par saderīgām ar iekšējo tirgu, piemērojot Līguma 107. un 108. pantu (turpmāk – regula Nr. 651/2014), 53. panta 6. punktam nepārsniedz starpību starp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norādītajām tiešajām attiecināmajām izmaksām un pamatdarbības peļņu no ieguldījuma.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un sadarbības partneris var saņemt publisko 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projektam atbalsta sniegšana specifiskā atbalsta ietvaros nav kvalificējama kā komercdarbības atbalsts, valsts akciju sabiedrībai "Valsts nekustamie īpašumi", Latvijas Nacionālajam mākslas muzejam, valsts sabiedrībai ar ierobežotu atbildību "Latvijas Nacionālais simfoniskais orķestris", Latvijas Nacionālajam vēstures muzejam un pašvaldībai publiskais finansējums nepārsniedz 100 procentus;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atbalsta sniegšana specifiskā atbalsta ietvaros kvalificējama kā komercdarbības atbalsts, valsts akciju sabiedrībai "Valsts nekustamie īpašumi", Latvijas Nacionālajam mākslas muzejam, valsts sabiedrībai ar ierobežotu atbildību "Latvijas Nacionālais simfoniskais orķestris", Latvijas Nacionālajam vēstures muzejam un pašvaldībai publiskais finansējums nepārsniedz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minētā aprēķina finanšu iztrūkumu.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un sadarbības partneris nodrošina projekta līdzfinansējumu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atbalsta sniegšana specifiskā atbalsta ietvaros nav kvalificējama kā komercdarbības atbalsts, finansējuma saņēmēja un sadarbības partnera līdzfinansējums nav mazāks par 15 procentiem no projekta kopējām attiecināmajām izmaksām, ieskaitot valsts budžeta dotāciju atbilstoši normatīvajiem aktiem par valsts budžeta dotācijas piešķiršanu pašvaldībām līdzfinansēto projektu īstenošanai Eiropas Savienības fondu 2021.–2027. gada plānošanas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atbalsta sniegšana specifiskā atbalsta ietvaros ir kvalificējama kā komercdarbības atbalsts, finansējuma saņēmēja un sadarbības partnera privātā līdzfinansējuma apmēru nosaka, ņemot vērā, ka publiskais finansējums nepārsniedz aprēķināto finanšu iztrūkumu. Finansējuma saņēmējs līdzfinansējumu nodrošina no tādiem pašu līdzekļiem, par kuriem nav saņemts nekāds publisks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tiek īstenoti stratēģiski svarīgi projekti šādu kultūras mantojuma objektu atjaunošanai un publiskās ārtelpas attīstībai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Lielā ģilde (Amatu ielā 6,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zāle Arsenāls (Torņa ielā 1,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Vecrīgas publiskā ārtelpa;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Daugavas gātes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pils ekspozīcijas izveide.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23.07.2024. noteikumiem Nr. 497)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Pasākumu īsteno divās atlases kārtās ar šādu finansējuma sadalījumu: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pieejamais kopējais attiecināmais finansējums ir 28 968 867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24 623 537 </w:t>
      </w:r>
      <w:r w:rsidR="00000000" w:rsidRPr="00000000" w:rsidDel="00000000">
        <w:rPr>
          <w:i w:val="1"/>
          <w:rtl w:val="0"/>
        </w:rPr>
        <w:t xml:space="preserve">euro </w:t>
      </w:r>
      <w:r w:rsidR="00000000" w:rsidRPr="00000000" w:rsidDel="00000000">
        <w:rPr>
          <w:rtl w:val="0"/>
        </w:rPr>
        <w:t xml:space="preserve">(no tā 2 365 577 </w:t>
      </w:r>
      <w:r w:rsidR="00000000" w:rsidRPr="00000000" w:rsidDel="00000000">
        <w:rPr>
          <w:i w:val="1"/>
          <w:rtl w:val="0"/>
        </w:rPr>
        <w:t xml:space="preserve">euro </w:t>
      </w:r>
      <w:r w:rsidR="00000000" w:rsidRPr="00000000" w:rsidDel="00000000">
        <w:rPr>
          <w:rtl w:val="0"/>
        </w:rPr>
        <w:t xml:space="preserve">– valsts budžeta finansējums, kas pārsniedz pasākumam pieejamo Eiropas Reģionālās attīstības fonda finansējumu) un nacionālais finansējums – 4 345 330 </w:t>
      </w:r>
      <w:r w:rsidR="00000000" w:rsidRPr="00000000" w:rsidDel="00000000">
        <w:rPr>
          <w:i w:val="1"/>
          <w:rtl w:val="0"/>
        </w:rPr>
        <w:t xml:space="preserve">euro </w:t>
      </w:r>
      <w:r w:rsidR="00000000" w:rsidRPr="00000000" w:rsidDel="00000000">
        <w:rPr>
          <w:rtl w:val="0"/>
        </w:rPr>
        <w:t xml:space="preserve">(valsts budžeta līdzfinansējums 3 462 977 </w:t>
      </w:r>
      <w:r w:rsidR="00000000" w:rsidRPr="00000000" w:rsidDel="00000000">
        <w:rPr>
          <w:i w:val="1"/>
          <w:rtl w:val="0"/>
        </w:rPr>
        <w:t xml:space="preserve">euro </w:t>
      </w:r>
      <w:r w:rsidR="00000000" w:rsidRPr="00000000" w:rsidDel="00000000">
        <w:rPr>
          <w:rtl w:val="0"/>
        </w:rPr>
        <w:t xml:space="preserve">un pašvaldības līdzfinansējums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pieejamais kopējais attiecināmais finansējums ir 12 834 668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10 909 467 </w:t>
      </w:r>
      <w:r w:rsidR="00000000" w:rsidRPr="00000000" w:rsidDel="00000000">
        <w:rPr>
          <w:i w:val="1"/>
          <w:rtl w:val="0"/>
        </w:rPr>
        <w:t xml:space="preserve">euro </w:t>
      </w:r>
      <w:r w:rsidR="00000000" w:rsidRPr="00000000" w:rsidDel="00000000">
        <w:rPr>
          <w:rtl w:val="0"/>
        </w:rPr>
        <w:t xml:space="preserve">(no tā 160 869 </w:t>
      </w:r>
      <w:r w:rsidR="00000000" w:rsidRPr="00000000" w:rsidDel="00000000">
        <w:rPr>
          <w:i w:val="1"/>
          <w:rtl w:val="0"/>
        </w:rPr>
        <w:t xml:space="preserve">euro </w:t>
      </w:r>
      <w:r w:rsidR="00000000" w:rsidRPr="00000000" w:rsidDel="00000000">
        <w:rPr>
          <w:rtl w:val="0"/>
        </w:rPr>
        <w:t xml:space="preserve">– valsts budžeta finansējums, kas pārsniedz pasākumam pieejamo Eiropas Reģionālās attīstības fonda finansējumu) un nacionālais finansējums – 1 925 201 </w:t>
      </w:r>
      <w:r w:rsidR="00000000" w:rsidRPr="00000000" w:rsidDel="00000000">
        <w:rPr>
          <w:i w:val="1"/>
          <w:rtl w:val="0"/>
        </w:rPr>
        <w:t xml:space="preserve">euro</w:t>
      </w:r>
      <w:r w:rsidR="00000000" w:rsidRPr="00000000" w:rsidDel="00000000">
        <w:rPr>
          <w:rtl w:val="0"/>
        </w:rPr>
        <w:t xml:space="preserve">, ko veido valsts budžeta līdzfinansējums.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12.05.2026. noteikumu Nr. 249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projektos (tai skaitā projektos, kuri īstenoti par valsts budžeta finansējumu, kas pārsniedz pasākumam pieejamo Eiropas Reģionālās attīstības fonda finansējumu) izveidojies finansējuma atlikums, to var novirzīt citiem projektiem pasākuma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12.05.2026. noteikumu Nr. 249 redakcijā)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iestāde, ja tai ir pieejami valsts budžeta līdzekļi, pēc vienošanās par projekta īstenošanu noslēgšanas un rakstiska avansa pieprasījuma saņemšanas var piešķirt  avansu,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un valsts budžeta 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kurš pēc projekta iesnieguma apstiprināšanas kļūst par finansējuma saņēmēju, pasākuma ietvaros ir valsts akciju sabiedrība "Valsts nekustamie īpašumi", Latvijas Nacionālais vēstures muzejs un Rīgas valstspilsētas pašvaldība, kuras īpašumā, turējumā, lietošanā, nomā vai valdījumā atrodas kultūras mantojuma objekts vai publiskā ārtelpa, kurā plānotas investīcijas.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pasākuma ietvaros projekta īstenošanai var piesaistīt sadarbības partneri – Latvijas Nacionālo mākslas muzeju, valsts sabiedrību ar ierobežotu atbildību "Latvijas Nacionālais simfoniskais orķestris", valsts kapitālsabiedrību, pašvaldību, pašvaldības iestādi vai pašvaldības kapitālsabiedrību, kuras īpašumā, turējumā, lietošanā vai valdījumā atrodas kultūras mantojuma objekts vai publiskā ārtelpa, kurā plānotas investīcijas.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ar katru sadarbības partneri slēdz rakstveida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Īpašuma vai turējuma tiesības attiecībā uz atbalstītajiem objektiem nemaina un ieguldījums paliek Latvijas Republikas teritorijā vismaz piecus gadus pēc noslēguma maksājuma veikšanas finansējuma saņēmējam. Īpašuma vai turējuma tiesības nostiprina zemesgrāmatā (izņemot gadījumu, ja pašvaldības īpašums uz normatīvā akta, līguma vai pašvaldības lēmuma pamata ir nodots sadarbības partnera vai projekta iesniedzēja pārvaldīšanā vai ja īpašuma tiesības uz īpašuma objektu ir spēkā bez to nostiprināšanas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atbalsts kvalificējams kā komercdarbības atbalsts, projekta iesniedzējs nevar pretendēt uz finansējumu un sadarbības partneris nevar tikt iesaistīts projekta īstenošanā,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grūtībās nonākuša komersanta (grupas līmenī) statusam saskaņā ar regulas Nr. 651/2014 2. panta 18. punkta definīciju;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pašvaldībā atbilstoši likumam "Par pašvaldību finanšu stabilizēšanu un pašvaldību finansiālās darbības uzraudzību" ir uzsākts finanšu stabilizācijas process.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12.05.2026. noteikumiem Nr. 249)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Pašvaldībai, kuras teritorijā īsteno projektu, projekta iesnieguma iesniegšanas dienā ir apstiprināta pašvaldības attīstības programma un projektā plānotās investīcijas sniedz ieguldījumu programmā noteikto rīcības virzienu īstenošanā.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veic izmaksu un ieguvumu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iesnieguma iesniegšanas dienā ir apstiprināta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objektu darbības stratēģija vai publiskās ārtelpas apraksts: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darbības stratēģija izstrādāta, ievērojot pilsētvides attīstības izaicinājumus un pašvaldības attīstības programmā noteiktās tūrisma attīstības prioritātes, objekta attīstībai plānojot piesaistīt dažādus finansējuma avotus;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objektu darbības stratēģija pamato, kā objekta attīstība uzlabos kultūras objekta darbību nacionālas vai starptautiskas nozīmes kultūras pasākumā;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objektu darbības stratēģija pamato objekta attīstības sociālekonomiskos ieguvumus un paredz objekta uzturēšanu ilgtermiņā;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objekta darbības stratēģija vai publiskās ārtelpas apraksts pamato, kā tiks veicināta vietējo iedzīvotāju sociālā iekļaušana, izpildot vismaz vienu no šādiem nosacījumiem: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tiks pilnveidoti esošie pakalpojumi vai izveidoti jauni, integrējot projektos inovatīvus risinājumus, kas ļauj attīstīt kultūras satura digitālo piedāvājumu;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tiks iesaistītas vietējās iedzīvotāju kopienas, radot jaunu sociālo dinamiku;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tiks sekmēta vienlīdzīga piekļuve kultūras objektiem un publiskai ārtelpai, veicinot līdztiesību un kultūras norišu piekļūstamību neatkarīgi no personas dzīvesvietas, īpašām vajadzībām un sociālās atstumtības riska.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Pasākums tiek īstenots, ievērojot: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Starptautiskās kultūras pieminekļu un ievērojamu vietu padomes izstrādātos kvalitātes principus Eiropas Savienības finansētiem pārveidojumiem, kas var ietekmēt kultūras mantojumu.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pasākuma ietvaros plānotais atbalsts nepārklājas ar citiem valsts un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rezultātu ilgtspēju vismaz piecus gadus pēc tam, kad sadarbības iestāde ir veikusi noslēguma maksājumu;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projekta īstenošanas komunikācijas un vizuālās identitātes prasības saskaņā ar Eiropas Parlamenta un Padomes (ES) 2021. gada 24. jūnija Regulas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stratēģiski svarīgā projekta komunikācijas plānu, kas paredz nodrošināt vismaz viena plašāka mēroga publicitātes pasākumu mediju intereses un sabiedrības uzmanības piesaistīšanai, un iesniedz to informācijai atbildīgajā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stratēģiski svarīga projekta komunikācijas aktivitātes īsteno sadarbībā ar atbildīgo iestādi un Eiropas Komisijas pārstāvniecību Latvijā.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11.2.1.</w:t>
      </w:r>
      <w:r w:rsidR="00000000" w:rsidRPr="00000000" w:rsidDel="00000000">
        <w:rPr>
          <w:rtl w:val="0"/>
        </w:rPr>
        <w:t xml:space="preserve"> apakšpunktā</w:t>
      </w:r>
      <w:r w:rsidR="00000000" w:rsidRPr="00000000" w:rsidDel="00000000">
        <w:rPr>
          <w:rtl w:val="0"/>
        </w:rPr>
        <w:t xml:space="preserve"> minētā iznākuma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11.2.2.</w:t>
      </w:r>
      <w:r w:rsidR="00000000" w:rsidRPr="00000000" w:rsidDel="00000000">
        <w:rPr>
          <w:rtl w:val="0"/>
        </w:rPr>
        <w:t xml:space="preserve"> apakšpunktā</w:t>
      </w:r>
      <w:r w:rsidR="00000000" w:rsidRPr="00000000" w:rsidDel="00000000">
        <w:rPr>
          <w:rtl w:val="0"/>
        </w:rPr>
        <w:t xml:space="preserve"> minētā rezultāta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(ja attiecināms), tai skaitā par objektu skaitu, kuros Eiropas Reģionālās attīstības fonda ieguldījumu rezultātā ir nodrošināta vides un informācijas piekļūstamība;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(ja attiecināms) un ievēro šādus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minētajiem horizontālo principu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reglamentējošajiem normatīvajiem aktiem, īstenojot atklātu, pārredzamu, nediskriminējošu un konkurenci nodrošinošu konkursa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 iespēju īstenot sociāli atbildīgu un inovatīvu iepirkumu  un vides prasību integrāciju preču un pakalpojumu  iepirkumos (zaļais publiskais iepirkums);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interešu konflikta neesību.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12.05.2026. noteikumiem Nr. 249)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Projektā iekļauj atbalstāmās darbības, kas sekmē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specifiskā atbalsta mērķa un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nozīmes arhitektūras, arheoloģijas, vēstures, kā arī pilsētbūvniecības pieminekļu atjaunošana, konservācija, pārbūve vai restaurācija;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Vecrīgas publiskās ārtelpas attīstīšana;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kultūras mantojumu saistītās infrastruktūras būvju atjaunošana, konservācija, pārbūve, restaurācija vai jaunu infrastruktūras būvju būvniecība un publiskās ārtelpas attīstīšana atbalstāmo objektu apkārtnē, kas ir vērsta uz kultūras mantojuma saglabāšanu, aizsardzību un attīstību;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pakalpojumu izveide un īstenošana, paplašinot kultūras mantojuma saturisko piedāvājumu;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Izmaksas ir attiecināmas no 2022. gada 2. novembra.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septiņu procentu apmērā no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minētajām tiešajām attiecināmajām izmaksām saskaņā ar regulas 2021/1060 54. panta "a"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minētās atbalstāmās darbības,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projekta vadības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sadarbības partnera projekta īstenošanas personāla izmaksas, kas tieši saistītas ar projekta īstenošanu un mērķa sasniegšanu un radušās uz darba līguma pamata;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pamatojošās dokumentācijas sagatavošanas izmaksas, izņemot projekta iesnieguma veidlapas aizpildīšanas izmaksas, nepārsniedzot 10 procentus no projekta plānotajām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kultūrvēsturiskās un arheoloģiskās izpētes un kultūrvēsturiskās inventarizācijas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kultūras mantojuma objektu saistītās ekspozīcijas (tai skaitā iekštelpu un ārtelpu ekspozīcijas) un tās tehniskā projekta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audita, ekspertīzes un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un ieguvumu analīzes izstrāde;</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ekspertu izmaksas, kas tieši saistītas ar investīcijām infrastruktūrā, būvuzraudzības, autoruzraudzības un arheoloģiskās uzraudzības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esošas būves, tai skaitā kultūras mantojuma objekta sasniedzamību un piekļūstamību nodrošinošās infrastruktūras (satiksmes pārvadi, ielas un ar tām saistītā infrastruktūra, gājēju ceļi, gājēju tilti, labiekārtoti laukumi ar segumu, kāpnes, apgaismojums), atjaunošana, konservācija, pārbūve vai restaurācija un ar to saistītās publiskās ārtelpas attīstība;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jaunas būves, tai skaitā kultūras mantojuma objekta sasniedzamību un piekļūstamību nodrošinošās infrastruktūras (satiksmes pārvadi, ielas un ar tām saistītā infrastruktūra, gājēju ceļi, gājēju tilti, labiekārtoti laukumi ar segumu, kāpnes, apgaismojums, ārtelpas elementi), būvniecība un ar to saistītās publiskās ārtelpas attīstība;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atjaunoto, konservēto, pārbūvēto, restaurēto vai uzbūvēto būvju funkcionalitātes nodrošināšanai nepieciešamo inženiertīklu, tai skaitā ūdensvada, sadzīves kanalizācijas, lietusūdens kanalizācijas, elektrības, elektronisko sakaru, siltumapgādes, ventilācijas, klimata kontroles un ugunsdzēsības sistēmas, atjaunošana, pārbūve vai būvniecība;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inženierinfrastruktūras pārbūve vai funkcionāls savienojums, tai skaitā lietusūdens kanalizācijas infrastruktūras izbūve vai pārbūve (piegulošo inženiertīklu pārbūves izmaksas attiecināmas tikai tad, ja tiek nodrošināts sertificēta būvinženiera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aprīkošana un pielāgošana pakalpojumu sniegšanai, kas nepieciešama būves vai tās daļas pieņemšanai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kultūras mantojumu saistītās iekštelpu un ārtelpu ekspozīcijas un kultūras pakalpojuma izveides un īstenošanas izmaksas, aprīkojuma iegādes un uzstādīšanas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Ja projektam sniegtais atbalsts ir uzskatāms par komercdarbības atbalstu, publicitātes izmaksas var būt attiecināmas projekta ietvaros, taču publiskā finansējuma piešķiršana tam nekvalificējas kā komercdarbības atbalsts un publicitātes izmaksas nevar segt saskaņā ar regulas Nr. 651/2014 53.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stratēģiski svarīgā projekta komunikācijas plāna izstrādes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īstenošanai, kas nepieciešamas, lai nodrošinātu atbilstību vides un informācijas piekļūstamības prasībām, tai skaitā: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zīmju valodas tulku, vieglās valodas tulkošanas, reāllaika transkripcijas un subtitru nodrošināšanas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ekspertu konsultāciju izmaksas par dzimumu līdztiesības, personu ar invaliditāti vienlīdzīgu iespēju, vecuma nediskriminācijas, etniskās un citas piederības pamattiesību jautājumiem.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12.12.2023. noteikumiem Nr. 737; MK 23.07.2024. noteikumiem Nr. 497; MK 12.05.2026. noteikumiem Nr. 249)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Plānojot projekta tiešās attiecināmās personāla atlīdzības izmaksas, pamatojoties uz darba līgumu vai rīkojumu par pretendenta iecelšanu ierēdņa amatā, finansējuma saņēmējs un sadarbības partneris nodrošina, ka projekta vadības personāls un projekta īstenošanas personāls tiek piesaistīts uz normālu darba laiku vai nepilnu darba laiku, tai skaitā atlīdzībai var piemērot daļlaika izmaksu attiecināmības principu. Ja personāla atlīdzībai piemēro daļlaika attiecināmības principu, finansējuma saņēmējs veic personāla darba laika uzskaiti par nostrādāto laiku un veiktajām funkcijām.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12.05.2026. noteikumu Nr. 249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un to izlietošanu finansējuma saņēmējs saskaņo ar sadarbības iestādi, ievērojot vienošanos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regulas Nr. 2021/1060 64. panta 1.punkta "c" apakšpunkta nosacījumiem, ja tas nav atgūstams atbilstoši normatīvajiem aktiem nodokļu politikas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minētās izmaksas ir attiecināmas, ja tās ir ieguldījumi materiālajos aktīvos, kā noteikts regulas Nr. 651/2014 2. panta 29. punktā, vai nemateriālajos aktīvos, kā noteikts regulas Nr. 651/2014 2. panta 30. punktā, un ir saistītas ar pamatlīdzekļa vērtību, izņemot šo noteikumu </w:t>
      </w:r>
      <w:r w:rsidR="00000000" w:rsidRPr="00000000" w:rsidDel="00000000">
        <w:rPr>
          <w:rtl w:val="0"/>
        </w:rPr>
        <w:t xml:space="preserve">36.7.</w:t>
      </w:r>
      <w:r w:rsidR="00000000" w:rsidRPr="00000000" w:rsidDel="00000000">
        <w:rPr>
          <w:rtl w:val="0"/>
        </w:rPr>
        <w:t xml:space="preserve"> apakšpunktā</w:t>
      </w:r>
      <w:r w:rsidR="00000000" w:rsidRPr="00000000" w:rsidDel="00000000">
        <w:rPr>
          <w:rtl w:val="0"/>
        </w:rPr>
        <w:t xml:space="preserve"> minētās izmaksas, ja projekta iesniegumam sniegtais atbalsts ir uzskatāms par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projekta izmaksas ir pieaugušas, finansējuma saņēmējs un sadarbības partneris sedz sadārdzinājumu no saviem līdzekļiem. Ja atbalsta sniegšana pasākuma ietvaros ir kvalificējama kā komercdarbības atbalsts, finansējuma saņēmējs un sadarbības partneris privāto finansējumu nodrošina no tādiem pašu līdzekļiem, par kuriem nav saņemts nekāds publisks atbalsts.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Komercdarbības atbalstu šo noteikumu ietvaros sniedz saskaņā ar regulas Nr. 651/2014 53. pantu.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Projektam netiek piemēroti regulas Nr. 651/2014 53. panta nosacījumi jeb sniegtais atbalsts nav uzskatāms par komercdarbības atbalstu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jo pašu ieņēmumi atbalstītajā objektā ir 50 procenti vai mazāki par 50 procentiem no kultūras jomas pakalpojumu sniedzēja gada budžeta atbalstītajā objektā;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visiem kultūras jomā sniegto pakalpojumu saņēmējiem vai  atbalstītā objekta apmeklētājiem gadā 85 procenti vai vairāk ir Latvijas iedzīvotāji;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īstenotie kultūras pasākumi pārsvarā notiek latviešu valodā;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objekts netiek plaši reklamēts ārpus Latvijas teritorijas, tai skaitā netiek veiktas starptautiskas mārketinga aktivitātes un citas darbības pārrobežu reklāmas 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pārskata periodā Kultūras ministrija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43.</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497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Komercdarbības atbalstu finansējuma saņēmējam piešķir saskaņā ar regulu Nr. 651/2014, ja ievēroti visi šajā 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komercdarbības atbalstu, kurš tiek sniegts saskaņā ar regulas Nr. 651/2014 53. pantu vienam vai vairākiem 53. panta 2. punkta "a", "b", "c", "d" un "e" apakšpunktā minētajiem mērķiem vai darbībām, papildus ir ievēroti visi šajā apakšpunktā minētie nosacījumi: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nesniedz regulas Nr. 651/2014 53. panta 10. punktā minētajām nozarēm;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ievērots nosacījums, ka vismaz 80 procentu no infrastruktūras gada jaudas laika vai platības izteiksmē izmanto kultūras mērķim;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45.2.2.</w:t>
      </w:r>
      <w:r w:rsidR="00000000" w:rsidRPr="00000000" w:rsidDel="00000000">
        <w:rPr>
          <w:rtl w:val="0"/>
        </w:rPr>
        <w:t xml:space="preserve"> apakšpunkta</w:t>
      </w:r>
      <w:r w:rsidR="00000000" w:rsidRPr="00000000" w:rsidDel="00000000">
        <w:rPr>
          <w:rtl w:val="0"/>
        </w:rPr>
        <w:t xml:space="preserve"> nosacījums neattiecas uz kultūras mantojuma izmaksām, kas noteiktas regulas Nr. 651/2014 53. panta 4. punkta "c" apakšpunktā;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komercdarbības atbalsts netiek sniegts finansējuma saņēmējam un sadarbības partnerim (grupas līmenī), uz kuru attiecas līdzekļu atgūšanas rīkojums saskaņā ar iepriekšēju Eiropas Komisijas lēmumu, ar ko atbalsts tiek atzīts par nelikumīgu un nesaderīgu ar kopējo tirgu, atbilstoši regulas Nr. 651/2014 1. panta 4. punkta "a" apakšpunkta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ievēroti regulas Nr. 651/2014 1. panta 3. punkta nosacījumi par nozarēm, kurām nepiemēro regulu Nr. 651/2014 un kurām tiek nodrošināta izmaksu nošķiršana tādējādi, ka darbības izslēgtajās nozarēs negūst labumu no atbalsta, kas piešķirts saskaņā ar regulu Nr. 651/2014.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12.05.2026. noteikumiem Nr. 249)</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Lēmumu par atbalsta piešķiršanu saskaņā ar regulu Nr. 651/2014 pieņem līdz regulas Nr. 651/2014 58. panta 4. punktā un 59. pantā noteiktajam termiņam.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Atbalstītajā objektā šo noteikumu </w:t>
      </w:r>
      <w:r w:rsidR="00000000" w:rsidRPr="00000000" w:rsidDel="00000000">
        <w:rPr>
          <w:rtl w:val="0"/>
        </w:rPr>
        <w:t xml:space="preserve">43.1.</w:t>
      </w:r>
      <w:r w:rsidR="00000000" w:rsidRPr="00000000" w:rsidDel="00000000">
        <w:rPr>
          <w:rtl w:val="0"/>
        </w:rPr>
        <w:t xml:space="preserve"> apakšpunktā</w:t>
      </w:r>
      <w:r w:rsidR="00000000" w:rsidRPr="00000000" w:rsidDel="00000000">
        <w:rPr>
          <w:rtl w:val="0"/>
        </w:rPr>
        <w:t xml:space="preserve"> minētajā gadījumā ir pieļaujams veikt papildpakalpojumus, kuriem nebūtu ietekmes uz tirdzniecību un konkurenci Eiropas Savienības iekšējā tirgū.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Komercdarbības atbalstu šo noteikumu ietvaros drīkst apvienot ar citu komercdarbības atbalstu, tai skaitā ar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nepārsniedzot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starpību starp tiešajām attiecināmajām izmaksām un pamatdarbības peļņu no ieguldījuma, kā arī citā valsts atbalsta programmā, individuālajā atbalsta projektā vai Eiropas Komisijas lēmumā noteikto maksimālā atbalsta summu un atbalsta intensitāti. Šo noteikumu ietvaros pamatdarbības peļņas definīcija atbilst regulas Nr. 651/2014 2. panta 39. punktam.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Sadarbības iestāde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651/2014 9. panta 1. punkta "c" apakšpunktā un 4. punktā noteikto publicitātes pasākumu izpildi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651/2014 12. panta 1. punktā noteikto nosacījumu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uzraudzību visā projekta pārskata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ar komercdarbības atbalstu saistīta projekta dokumentāciju glabā visu projekta pārskata periodu, sākot no dienas, kad tam ir piešķirts individuālais komercdarbības atbalsts saskaņā ar šiem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komercdarbības atbalstu sniedz saskaņā ar regulas Nr. 651/2014 53. pantu un ja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minētās izmaksu un ieguvumu analīzes pārrēķinu un sadarbības iestādei atmaksā starpību starp faktisko un plānoto peļņu no pamatdarbības.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projekts tā ieviešanas gaitā vai projekta pārskata periodā kļūst par projektu, kura ietvaros tiek sniegts komercdarbības atbalsts, tiek piemēroti regulas Nr. 651/2014 53. panta nosacījumi. Ja regulas Nr. 651/2014 53. panta nosacījumus nav iespējams piemērot, piešķirtais atbalsts ir nelikumīgs komercdarbības atbalsts un atbalsta sniedzējs piemēro šo noteikumu </w:t>
      </w:r>
      <w:r w:rsidR="00000000" w:rsidRPr="00000000" w:rsidDel="00000000">
        <w:rPr>
          <w:rtl w:val="0"/>
        </w:rPr>
        <w:t xml:space="preserve">55.</w:t>
      </w:r>
      <w:r w:rsidR="00000000" w:rsidRPr="00000000" w:rsidDel="00000000">
        <w:rPr>
          <w:rtl w:val="0"/>
        </w:rPr>
        <w:t xml:space="preserve"> punktā</w:t>
      </w:r>
      <w:r w:rsidR="00000000" w:rsidRPr="00000000" w:rsidDel="00000000">
        <w:rPr>
          <w:rtl w:val="0"/>
        </w:rPr>
        <w:t xml:space="preserve"> minētās nelikumīgā komercdarbības atbalsta atgūšanas normas.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sadarbības iestāde atbalstītajā objektā konstatē komercdarbības atbalstu, tā par to informē finansējuma saņēmēju.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ir pārkāptas regulas Nr. 651/2014 prasības vai ir konstatēts, ka projekts tā ieviešanas gaitā vai projekta pārskata periodā neatbilst šo noteikumu </w:t>
      </w:r>
      <w:r w:rsidR="00000000" w:rsidRPr="00000000" w:rsidDel="00000000">
        <w:rPr>
          <w:rtl w:val="0"/>
        </w:rPr>
        <w:t xml:space="preserve">43.</w:t>
      </w:r>
      <w:r w:rsidR="00000000" w:rsidRPr="00000000" w:rsidDel="00000000">
        <w:rPr>
          <w:rtl w:val="0"/>
        </w:rPr>
        <w:t xml:space="preserve"> punktā</w:t>
      </w:r>
      <w:r w:rsidR="00000000" w:rsidRPr="00000000" w:rsidDel="00000000">
        <w:rPr>
          <w:rtl w:val="0"/>
        </w:rPr>
        <w:t xml:space="preserve"> minētajiem gadījumiem un tam nav iespējams piemērot regulas Nr. 651/2014 53. 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26-TA-2181</w:t>
    </w:r>
    <w:r>
      <w:br/>
    </w:r>
    <w:r w:rsidR="00000000" w:rsidRPr="00000000" w:rsidDel="00000000">
      <w:rPr>
        <w:rtl w:val="0"/>
      </w:rPr>
      <w:t xml:space="preserve">Izdrukāts 29.09.2026. 15.17 - 1.0.VK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26-TA-2181</w:t>
    </w:r>
    <w:r>
      <w:br/>
    </w:r>
    <w:r w:rsidR="00000000" w:rsidRPr="00000000" w:rsidDel="00000000">
      <w:rPr>
        <w:rtl w:val="0"/>
      </w:rPr>
      <w:t xml:space="preserve">Izdrukāts 29.09.2026. 15.17 - 1.0.VK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noteikumu_konsolidētā_versija_26-TA-2181.docx</dc:title>
</cp:coreProperties>
</file>

<file path=docProps/custom.xml><?xml version="1.0" encoding="utf-8"?>
<Properties xmlns="http://schemas.openxmlformats.org/officeDocument/2006/custom-properties" xmlns:vt="http://schemas.openxmlformats.org/officeDocument/2006/docPropsVTypes"/>
</file>