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24. jūlija noteikumos Nr. 446 "Noteikumi par lauksaimniecības, lauku un zivsaimniecības saimnieciskās darbības veicēju aizdevumu programmu" (Latvijas Vēstnesis, 2018, 149. nr.; 2021, 14. nr.; 2022, 19. nr.; 2023, 247. nr.; 2024, 103., 237.,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lauksaimniecības, lauku un zivsaimniecības saimnieciskās darbības veicēju aizdevumu programmas (turpmāk – aizdevumu programma) īstenošanas kārtību, finansējumu un atbalstāmās darbības, kā arī kārtību, kādā piešķir valsts un Eiropas Savienības atbalstu lauku attīstībai aizdevumu veidā apakšpasākumos "Atbalsts ieguldījumiem lauku saimniecībās", "Atbalsts ieguldījumiem pārstrādē" un "Atbalsts ieguldījumiem ar lauksaimniecību nesaistītu darbību radīšanā un attīstīšanā", kā arī Latvijas Kopējās lauksaimniecības politikas stratēģiskā plāna 2023.–2027. gadam intervencēs "Atbalsts aizdevumu veidā ieguldījumiem un apgrozāmajiem līdzekļiem lauku saimniecībās" un "Atbalsts ieguldījumiem nelauksaimniecības aktivitāšu īstenošanai" (turpmāk – apakšpasākumi)."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Aizdevumu programmas finansēšanai, sagaidāmajiem zaudējumiem un pārvaldības izmaksām pieejamais publiskais finansējums ir 41 300 000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Latvijas Lauku attīstības programmas 2007.–2013. gadam pasākumā "Kredītu fonds" atmaksātais finansējums 6 100 000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Rīcības programmas Eiropas Zivsaimniecības fonda atbalsta ieviešanai Latvijā 2007.–2013. gadam pasākumā "Kredītu fonds" atmaksātais finansējums 300 000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Latvijas Lauku attīstības programmas 2014.–2020. gadam īstenošanas pārejas periodā apakšpasākumiem pieejamais finansējums 24 000 000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valsts budžeta pieejamais finansējums 2 900 000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Latvijas Kopējās lauksaimniecības politikas stratēģiskā plāna 2023.–2027. gadam Eiropas Lauksaimniecības fonda lauku attīstībai intervencei "Atbalsts aizdevumu veidā ieguldījumiem un apgrozāmajiem līdzekļiem lauku saimniecībās" pieejamais finansējums 2 000 000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Latvijas Kopējās lauksaimniecības politikas stratēģiskā plāna 2023.–2027. gadam Eiropas Lauksaimniecības fonda lauku attīstībai intervencei "Atbalsts ieguldījumiem nelauksaimniecības aktivitāšu īstenošanai" pieejamais finansējums 6 000 000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valsts aizdevuma summa ir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aizdevumu programmā atmaksātais publiskais finansējums un šo noteikumu 4.1. un 4.2. apakšpunktā noteiktais finansējums atbilstoši normatīvajiem aktiem par valsts un Eiropas Savienības atbalsta piešķiršanu lauku attīstībai finanšu instrumentu veidā – aizdevumu programmas īstenošanas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3. šo noteikumu 4.5. un 4.6. apakšpunktā minētais finansējums apakšpasākumu īstenošanai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68. panta 4. punktā noteiktajām robežvērtībām."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no šo noteikumu 4.1. vai 4.4. apakšpunktā minētā finansējuma –  lauksaimniecības nozarē, ievērojot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no šo noteikumu 4.1. vai 4.4. apakšpunktā minētā finansējuma – pārējās nozarēs, ievērojot Komisijas 2023. gada 13. decembra Regulu (EK)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no šo noteikumu 4.3. apakšpunktā minētā finansējuma – lauksaimniecības un pārējās nozarēs, ievērojot Eiropas Parlamenta un Padomes 2013. gada 17. decembra Regulas (ES) Nr. 1305/2013 par atbalstu lauku attīstībai no Eiropas Lauksaimniecības fonda lauku attīstībai (ELFLA) un ar ko atceļ Padomes Regulu (EK) Nr. 1698/2005 (Eiropas Savienības Oficiālais Vēstnesis, 2013. gada 20. decembris, Nr. L347), (turpmāk – regula Nr. 1305/2013) 17. vai 19. pantu, kā arī II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no šo noteikumu 4.5. apakšpunktā minētā finansējuma – lauksaimniecības nozarē, ievērojot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fonda lauku attīstībai (ELFLA), un ar ko atceļ Regulas (ES) Nr. 1305/2013 un (ES) Nr. 1307/2013, (turpmāk – regula 2021/2115) 73.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8.1.5.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"8.1.5. no šo noteikumu 4.6. apakšpunktā minētā finansējuma – pārējās nozarēs, izņemot lauksaimniecības produktu pārstrādi, ievērojot regulas 2021/2115 73.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 šo noteikumu 4.2. apakšpunktā minētā finansējuma – šo noteikumu 13.2. apakšpunktā minētajiem saimnieciskās darbības veicējiem zivsaimniecības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8.2.1. atbilstoši saimnieciskās darbības statistiskās klasifikācijas (turpmāk – </w:t>
      </w:r>
      <w:r w:rsidR="00000000" w:rsidRPr="00000000" w:rsidDel="00000000">
        <w:rPr>
          <w:i w:val="1"/>
          <w:rtl w:val="0"/>
        </w:rPr>
        <w:t xml:space="preserve">NACE</w:t>
      </w:r>
      <w:r w:rsidR="00000000" w:rsidRPr="00000000" w:rsidDel="00000000">
        <w:rPr>
          <w:rtl w:val="0"/>
        </w:rPr>
        <w:t xml:space="preserve"> 2.1. red.) kodam – grupa 03 "Zvejniecība un akvakultūra", ievērojot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regula Nr. 717/2014);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 atbilstoši </w:t>
      </w:r>
      <w:r w:rsidR="00000000" w:rsidRPr="00000000" w:rsidDel="00000000">
        <w:rPr>
          <w:i w:val="1"/>
          <w:rtl w:val="0"/>
        </w:rPr>
        <w:t xml:space="preserve">NACE</w:t>
      </w:r>
      <w:r w:rsidR="00000000" w:rsidRPr="00000000" w:rsidDel="00000000">
        <w:rPr>
          <w:rtl w:val="0"/>
        </w:rPr>
        <w:t xml:space="preserve"> 2.1. red. kodam – grupa 10.2 "Zivju, vēžveidīgo un mīkstmiešu pārstrāde un konservēšana", ievērojot regulu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Viens vienots uzņēmums ir saimnieciskās darbības veicējs, kas atbilst regulas 2023/2831 2. panta 2. punktā vai regulas Nr. 1408/2013 2. panta 2.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ieroču un munīcijas ražošanai un tirdzniecībai (</w:t>
      </w:r>
      <w:r w:rsidR="00000000" w:rsidRPr="00000000" w:rsidDel="00000000">
        <w:rPr>
          <w:i w:val="1"/>
          <w:rtl w:val="0"/>
        </w:rPr>
        <w:t xml:space="preserve">NACE </w:t>
      </w:r>
      <w:r w:rsidR="00000000" w:rsidRPr="00000000" w:rsidDel="00000000">
        <w:rPr>
          <w:rtl w:val="0"/>
        </w:rPr>
        <w:t xml:space="preserve">2.1. red. klase 25.30 "Ieroču un munīcijas ražošana" un klase 47.63 "Sporta aprīkojuma mazumtirdzniecība" – ja ir ieroču 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alkohola tirdzniecībai (</w:t>
      </w:r>
      <w:r w:rsidR="00000000" w:rsidRPr="00000000" w:rsidDel="00000000">
        <w:rPr>
          <w:i w:val="1"/>
          <w:rtl w:val="0"/>
        </w:rPr>
        <w:t xml:space="preserve">NACE </w:t>
      </w:r>
      <w:r w:rsidR="00000000" w:rsidRPr="00000000" w:rsidDel="00000000">
        <w:rPr>
          <w:rtl w:val="0"/>
        </w:rPr>
        <w:t xml:space="preserve">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tabakas izstrādājumu ražošanai un tirdzniecībai (</w:t>
      </w:r>
      <w:r w:rsidR="00000000" w:rsidRPr="00000000" w:rsidDel="00000000">
        <w:rPr>
          <w:i w:val="1"/>
          <w:rtl w:val="0"/>
        </w:rPr>
        <w:t xml:space="preserve">NACE</w:t>
      </w:r>
      <w:r w:rsidR="00000000" w:rsidRPr="00000000" w:rsidDel="00000000">
        <w:rPr>
          <w:rtl w:val="0"/>
        </w:rPr>
        <w:t xml:space="preserve"> 2.1. red. 12. nodaļa "Tabakas izstrādājumu ražošana", klase 46.35 "Tabakas izstrādājumu vairumtirdzniecība", klase 47.26 "Tabakas izstrādājumu mazumtirdzniecība "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azartspēļu un derību organizēšanai (</w:t>
      </w:r>
      <w:r w:rsidR="00000000" w:rsidRPr="00000000" w:rsidDel="00000000">
        <w:rPr>
          <w:i w:val="1"/>
          <w:rtl w:val="0"/>
        </w:rPr>
        <w:t xml:space="preserve">NACE </w:t>
      </w:r>
      <w:r w:rsidR="00000000" w:rsidRPr="00000000" w:rsidDel="00000000">
        <w:rPr>
          <w:rtl w:val="0"/>
        </w:rPr>
        <w:t xml:space="preserve">2.1. red. 92. nodaļa "Azartspēles un derības");".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administratīvo un apkalpojošo dienestu darbībai (</w:t>
      </w:r>
      <w:r w:rsidR="00000000" w:rsidRPr="00000000" w:rsidDel="00000000">
        <w:rPr>
          <w:i w:val="1"/>
          <w:rtl w:val="0"/>
        </w:rPr>
        <w:t xml:space="preserve">NACE </w:t>
      </w:r>
      <w:r w:rsidR="00000000" w:rsidRPr="00000000" w:rsidDel="00000000">
        <w:rPr>
          <w:rtl w:val="0"/>
        </w:rPr>
        <w:t xml:space="preserve">2.1. red. O sadaļa "Administratīvo un atbalsta dienestu darbība"), izņemot 81. nodaļu "Ēku uzturēšanas un ainavu veidošanas pakalpojumi" un 96. nodaļu "Individuālo pakalpojumu sniegšana";".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"11.10. transportlīdzekļu un transporta aprīkojuma iegādei saimnieciskās darbības veicējiem, kas darbojas transporta nozarē (</w:t>
      </w:r>
      <w:r w:rsidR="00000000" w:rsidRPr="00000000" w:rsidDel="00000000">
        <w:rPr>
          <w:i w:val="1"/>
          <w:rtl w:val="0"/>
        </w:rPr>
        <w:t xml:space="preserve">NACE</w:t>
      </w:r>
      <w:r w:rsidR="00000000" w:rsidRPr="00000000" w:rsidDel="00000000">
        <w:rPr>
          <w:rtl w:val="0"/>
        </w:rPr>
        <w:t xml:space="preserve"> 2.1. red. H sadaļa "Transports un uzglabāšana");".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finanšu un apdrošināšanas darbībai (</w:t>
      </w:r>
      <w:r w:rsidR="00000000" w:rsidRPr="00000000" w:rsidDel="00000000">
        <w:rPr>
          <w:i w:val="1"/>
          <w:rtl w:val="0"/>
        </w:rPr>
        <w:t xml:space="preserve">NACE </w:t>
      </w:r>
      <w:r w:rsidR="00000000" w:rsidRPr="00000000" w:rsidDel="00000000">
        <w:rPr>
          <w:rtl w:val="0"/>
        </w:rPr>
        <w:t xml:space="preserve">2.1. red. L sadaļa "Finanšu un apdrošināšanas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darījumiem ar nekustamo īpašumu (</w:t>
      </w:r>
      <w:r w:rsidR="00000000" w:rsidRPr="00000000" w:rsidDel="00000000">
        <w:rPr>
          <w:i w:val="1"/>
          <w:rtl w:val="0"/>
        </w:rPr>
        <w:t xml:space="preserve">NACE </w:t>
      </w:r>
      <w:r w:rsidR="00000000" w:rsidRPr="00000000" w:rsidDel="00000000">
        <w:rPr>
          <w:rtl w:val="0"/>
        </w:rPr>
        <w:t xml:space="preserve">2.1. red. M sadaļa "Operācijas ar nekustamo īpašumu", izņemot grupu 68.32 "Citas operācijas ar nekustamo īpašumu uz līguma pamata vai par atlīdzību");".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15.2.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apbūvētas un neapbūvētas zemes iegādei, ja tā ir daļa no īstenojamā projekta, – 50 000 </w:t>
      </w:r>
      <w:r w:rsidR="00000000" w:rsidRPr="00000000" w:rsidDel="00000000">
        <w:rPr>
          <w:i w:val="1"/>
          <w:rtl w:val="0"/>
        </w:rPr>
        <w:t xml:space="preserve">euro</w:t>
      </w:r>
      <w:r w:rsidR="00000000" w:rsidRPr="00000000" w:rsidDel="00000000">
        <w:rPr>
          <w:rtl w:val="0"/>
        </w:rPr>
        <w:t xml:space="preserve">, ja aizdevums ir sniegts, izmantojot šo noteikumu 4.1. , 4.2. vai 4.4. apakšpunktā minēto finansējumu, vai nepārsniedz 10 procentu no kopējās aizdevuma summas, ja aizdevums ir sniegts, izmantojot šo noteikumu 4.3., 4.5. vai 4.6.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regulas Nr. 717/2014 3. panta 2.a un 3. punktā noteikto maksimālo atbalsta apmēru iepriekš piešķirtajiem atbalstiem pēdējo triju fiskālo gadu periodā, ja aizdevumu piešķir saskaņā ar regulu Nr. 717/2014."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saņemot </w:t>
      </w:r>
      <w:r w:rsidR="00000000" w:rsidRPr="00000000" w:rsidDel="00000000">
        <w:rPr>
          <w:i w:val="1"/>
          <w:rtl w:val="0"/>
        </w:rPr>
        <w:t xml:space="preserve">de minimis</w:t>
      </w:r>
      <w:r w:rsidR="00000000" w:rsidRPr="00000000" w:rsidDel="00000000">
        <w:rPr>
          <w:rtl w:val="0"/>
        </w:rPr>
        <w:t xml:space="preserve"> atbalstu saskaņā ar regulu Nr. 1408/2013, tas nodrošina darbību vai izmaksu nodalīšanu atbilstoši regulas Nr. 1408/2013 1. panta 2. un 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aizdevumu piešķir saskaņā ar regulu 2023/2831 un regulu Nr. 1408/2013,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bet finanšu institūcija datus par </w:t>
      </w:r>
      <w:r w:rsidR="00000000" w:rsidRPr="00000000" w:rsidDel="00000000">
        <w:rPr>
          <w:i w:val="1"/>
          <w:rtl w:val="0"/>
        </w:rPr>
        <w:t xml:space="preserve">de minimis</w:t>
      </w:r>
      <w:r w:rsidR="00000000" w:rsidRPr="00000000" w:rsidDel="00000000">
        <w:rPr>
          <w:rtl w:val="0"/>
        </w:rPr>
        <w:t xml:space="preserve"> atbalsta shēmu glabā 10 gadus, sākot no dienas, kurā saskaņā ar aizdevumu programmu piešķirts pēdējais individuālais atbalsts. Ja aizdevumu piešķir saskaņā ar regulu Nr. 717/2014,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fiskālos gadus, sākot no atbalsta piešķiršanas dienas, bet finanšu institūcija datus par </w:t>
      </w:r>
      <w:r w:rsidR="00000000" w:rsidRPr="00000000" w:rsidDel="00000000">
        <w:rPr>
          <w:i w:val="1"/>
          <w:rtl w:val="0"/>
        </w:rPr>
        <w:t xml:space="preserve">de minimis</w:t>
      </w:r>
      <w:r w:rsidR="00000000" w:rsidRPr="00000000" w:rsidDel="00000000">
        <w:rPr>
          <w:rtl w:val="0"/>
        </w:rPr>
        <w:t xml:space="preserve"> atbalsta shēmu glabā 10 fiskālos gadus, sākot no dienas, kurā saskaņā ar aizdevumu programmu piešķirts pēdējais individuālais atbalsts. Ja aizdevumu piešķir saskaņā ar regulu Nr. 1305/2013, datus par individuāli piešķirto atbalstu glabā 10 fiskālos gadus, sākot no atbalsta piešķiršanas dienas, bet finanšu institūcija datus par piešķirto atbalstu glabā 10 fiskālos gadus, sākot no dienas, kurā saskaņā ar aizdevumu programmu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Finanšu institūcija, nodrošinot atsevišķu lauksaimniecībai sniegtā atbalsta finanšu līdzekļu uzskaiti, šo noteikumu 4.5. un 4.6. apakšpunktā minēto finansējumu nodala kā atsevišķas finansējuma daļas saskaņā ar regulas 2021/2115 80. panta 2. punktu un regulas 2021/1060 59. panta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Ja finanšu institūcija aizdevumu sniedz no šo noteikumu 4.1. , 4.2. vai 4.4. apakšpunktā minētā finansējuma, tad aizdevumu piešķir līdz regulas Nr. 1408/2013 7. panta 4. punktā un 8. pantā, Komisijas regulas 2023/2831 7. panta 3. punktā un 8. pantā vai regulas Nr. 717/2014 7. panta 4. punktā un 8. pantā noteiktā piemērošanas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finanšu institūcija aizdevumu sniedz no šo noteikumu 4.5. vai 4.6. apakšpunktā minētā finansējuma, tad aizdevumu piešķir līdz regulas 2021/2115 86. panta 4. punktā vai līdz regulas 2021/1060 63. panta 2. punktā noteiktā piemērošanas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25-TA-1585</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25-TA-1585</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noteikumu_(grozījumu)_projekts_25-TA-1585.docx</dc:title>
</cp:coreProperties>
</file>

<file path=docProps/custom.xml><?xml version="1.0" encoding="utf-8"?>
<Properties xmlns="http://schemas.openxmlformats.org/officeDocument/2006/custom-properties" xmlns:vt="http://schemas.openxmlformats.org/officeDocument/2006/docPropsVTypes"/>
</file>