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jūlijā (prot. Nr. 28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 (Latvijas Vēstnesis, 2023, 230. nr.; 2024, 146.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bērna atbalsta speciālisti – Bērnu aizsardzības centra darbinieki, kuri nodrošina atbalstu bērniem ar uzvedības vai atkarību problēmām, viņu tiesību un interešu pārstāvniecību un bērna vajadzībām atbilstošu pakalpojumu piesaisti;".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projekta vadības un īstenošanas personāla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16.2.3.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16.2.4.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17.1.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transporta pakalpojumu iegādi (transportlīdzekļa noma un transportlīdzekļa pakalpojuma pirkšana) var paredzēt finansējuma saņēmēja projekta vadības un īstenošanas personālam šo noteikumu 14.2.2. un 14.2.4.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Šo noteikumu 14.2.4. apakšpunktā minēto atbalstāmo darbību īsteno: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finansējuma saņēmēja piesaistīts pakalpojuma sniedzējs, kas izstrādā kompetences pilnveides programmu šo noteikumu 3.1. apakšpunktā minētajiem speciālistiem un organizē speciālistu mācības;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finansējuma saņēmējs, kas izstrādā atbalsta pakalpojuma aprakstu šo noteikumu 3.1. apakšpunktā minētajiem speciālistiem un īsteno izmēģinājumprojektu atbalsta pakalpojuma aprobācijai, izvērtē tā rezultātus un, ja nepieciešams, pilnveido atbalsta pakalpojuma aprakstu."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Šo noteikumu 14.2.1., 14.2.2., 14.2.3. un 14.3. apakšpunktā minēto atbalstāmo darbību īstenošanas un maksājuma pieprasījumu sagatavošanas nolūkā finansējuma saņēmēja piesaistīts pakalpojuma sniedzējs veic šo noteikumu 3.4. apakšpunktā minētās mērķa grupas personu atbilstības pārbaudi iesaistei šo noteikumu 23.4. un  27.6. apakšpunktā minētajā izmēģinājumprojektā un šo noteikumu 25.4. apakšpunktā  minētajā pakalpojumā, kā arī veic minēto personu identificēšanu un uzskaiti, norādot vārdu, uzvārdu, personas kodu, citu personas datus nesaturošu informāciju, un iesniedz finansējuma saņēmējam šo noteikumu 33.9.2. apakšpunktā  minētās personu atbilstības pēcpārbaudes veikšanai nepieciešamos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nodibina civildienesta vai darba tiesiskās attiecības ar projekta vadības un īstenošanas personālu vai piesaista pakalpojumu sniedzēju šo noteikumu 33.3. apakšpunktā minētajā kārtībā. Ja tiek dibinātas civildienesta vai darba tiesiskās attiecības,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33.2.2.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"33.2.2. parakstījuši apliecinājumus par interešu konflikta neesību saskaņā ar Eiropas Parlamenta un Padomes 2024. gada 23. septembra Regulas (ES, Euratom) 2024/2509 par finanšu noteikumiem, ko piemēro Savienības vispārējam budžetam, 61. pantu un publisko iepirkumu regulējošajiem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"33.5. nodrošina, ka projektā plānotās atbalstāmās darbības netiek finansētas, kā arī tās nav plānots finansēt no citiem valsts, pašvaldības vai ārvalstu finanšu atbalsta instrumentiem, un nodrošina dubultā finansējuma neiestāšanos;".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"33.7. nodrošina komunikācijas un vizuālās identitātes prasības, kas noteiktas regulas 2021/1060 47. un 50. pantā un normatīvajos aktos par kārtību, kādā Eiropas Savienības fondu vadībā iesaistītās institūcijas nodrošina šo fondu ieviešanu 2021.–2027. gada plānošanas periodā, tai skaitā savā tīmekļvietnē un sociālajos tīklos ievieto informāciju par projekta īstenošanu un aktualizē to, tiklīdz pieejama jaunāka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33.8.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33.9.1.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"33.9.1. šo noteikumu 3.4. apakšpunktā minētās mērķa grupas personu atbilstības pārbaudi, identificēšanu un uzskaiti iesaistei šo noteikumu 24.2. un 26.2. apakšpunktā minētajā izmēģinājumprojektā, norādot vārdu, uzvārdu, personas kodu un citu personas datus nesaturošu informāciju;".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25-TA-1177</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25-TA-1177</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noteikumu_(grozījumu)_projekts_25-TA-1177.docx</dc:title>
</cp:coreProperties>
</file>

<file path=docProps/custom.xml><?xml version="1.0" encoding="utf-8"?>
<Properties xmlns="http://schemas.openxmlformats.org/officeDocument/2006/custom-properties" xmlns:vt="http://schemas.openxmlformats.org/officeDocument/2006/docPropsVTypes"/>
</file>