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Eiropas Savienības Atveseļošanas un noturības mehānisma plāna investīciju 4.1.1.2.i. "Atbalsts slimnīcu infrastruktūrai vai aprīkojumam"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br/>
      </w:r>
      <w:r w:rsidR="00000000" w:rsidRPr="00000000" w:rsidDel="00000000">
        <w:rPr>
          <w:rStyle w:val="paragraph"/>
          <w:i w:val="1"/>
          <w:rtl w:val="0"/>
        </w:rPr>
        <w:t xml:space="preserve">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pirmo un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investīcijas 4.1.1.2.i. "Atbalsts slimnīcu infrastruktūrai vai aprīkojumam" (turpmāk – investīcija) īstenošanas un uzraudzības kārtību, tostarp:</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sasaisti ar ietekmi uz īstenojamo reformu;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finansējuma saņēmēju;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investīcijas 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 par projekta īstenošanu vienpusēja uzteikuma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ietvaros līgumus par projekta īstenošanu slēdz un investīcijas atbalstu piešķir Centrālā finanšu un līgumu aģentūra (turpmāk – līgumslēdzējs).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ietvaros komercdarbības atbalstu piešķir un atbildīgās nozares ministrijas funkcijas pilda Veselības ministrija (turpmāk – nozares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finansējuma saņēmējs ir ārstniecības iestādes, kas noteiktas šo noteikumu </w:t>
      </w:r>
      <w:r w:rsidR="00000000" w:rsidRPr="00000000" w:rsidDel="00000000">
        <w:rPr>
          <w:rtl w:val="0"/>
        </w:rPr>
        <w:t xml:space="preserve">pielikumā</w:t>
      </w:r>
      <w:r w:rsidR="00000000" w:rsidRPr="00000000" w:rsidDel="00000000">
        <w:rPr>
          <w:rtl w:val="0"/>
        </w:rPr>
        <w:t xml:space="preserve"> (turpmāk – finansējuma saņēmējs).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Investīcijas mērķis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mērķis ir palielināt veselības nozares noturību un pakalpojumu pieejamību, veicot ieguldījumus universitātes, reģionālo un specializēto slimnīcu veselības aprūpes pakalpojumu sniegšanas infrastruktūrā vai aprīkojumā.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mērķa grupa ir valsts apmaksāto veselības aprūpes pakalpojumu sniedzēji – ārstniecības iestādes.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Investīcijas ietvaros veiktās projekta darbības tieši vērstas uz Atveseļošanas fonda plāna reformas 4.1.1.r. "Uz cilvēku centrētas, visaptverošas, integrētas veselības aprūpes sistēmas ilgtspēja un noturība" (turpmāk – reforma) ieviešanu. Investīcija īstenojama sasaistē ar reformas atskaites punktu "Uz cilvēku centrētas, visaptverošas, integrētas veselības aprūpes sniegšanas modeļa attīstība, veicot investīciju stratēģijas izstrādi un izstrādājot rekomendācijas integrētas un epidemioloģiski drošas veselības aprūpes attīstībai".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Investīcijas ietvaros ir sasniedzami šādi rādītāji: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2022. gada 31. decembrim – projektu skaits, kuriem saņemts Veselības ministrijas izveidotas ārstniecības procesam tieši nepieciešamās medicīniskās tehnoloģijas iegādes vērtēšanas komisijas (turpmāk – tehnoloģijas komisija) pozitīvs atzinums par iekārtu atbilstību attiecīgo valsts apmaksāto pakalpojumu sniegšanai, – 10 projekti;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2026. gada 31. augustam – uzlabota slimnīcu infrastruktūra vai aprīkojums – 15 slimnīcas.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Projekta vērtēšana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Projektu atlase tiek īstenota trīs kārtās. Pirmās projektu atlases kārtas ietvaros divu mēnešu laikā pēc šo noteikumu spēkā stāšanās finansējuma saņēmējs sagatavo projektu un iesniedz to Kohēzijas politikas fondu vadības informācijas sistēmā (turpmāk – vadības informācijas sistēma), aizpildot definētās projekta sadaļas. Ja uz projekta iesniegšanas brīdi vēl nav nodrošināta vadības informācijas sistēmas funkcionalitāte, finansējuma saņēmējs iesniedz projektu nozares ministrijai elektroniska dokumenta veidā.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Otrās projektu atlases kārtas ietvaros finansējuma saņēmējs līdz 2025. gada 28. februārim sagatavo projektu un iesniedz to vadības informācijas sistēmā, aizpildot definētās projekta sadaļas.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21.01.2025. noteikumu Nr. 56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Trešās projektu atlases kārtas ietvaros finansējuma saņēmējs līdz 2026. gada 1. martam sagatavo projektu un iesniedz to vadības informācijas sistēmā, aizpildot definētās projekta sadaļas.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Atbilstoši normatīvajam aktam par Atveseļošanas fonda plāna īstenošanas un uzraudzības kārtību projektu vadības informācijas sistēmā vērtē nozares ministrija. Projektu vērtē atbilstoši šādiem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atbalsts paredzēts kā atbalsts universitātes, reģionālo vai specializēto slimnīcu veselības aprūpes infrastruktūras stiprināšanai, lai nodrošinātu visaptverošu, ilgtspējīgu un integrētu veselības pakalpojumu, mazinātu infekciju slimību izplatību un veicinātu epidemioloģisko prasību ievērošanu;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projekts atbilst ārstniecības iestāžu infrastruktūras uzlabošanas investīciju pasākumiem, kas stiprinās veselības nozares noturību un pakalpojumu pieejamību, paredzot attīstīt integrētiem veselības aprūpes pakalpojumiem nepieciešamo infrastruktūru un ārstniecības iestāžu spēju pielāgoties krīžu situācijām, un nodrošinās nepārtrauktu, ilgtspējīgu un kvalitatīvu valsts apmaksātu veselības aprūpes pakalpojumu sniegšanu valstī noteiktajās pakalpojumu sniegšanas vietās;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infrastruktūras uzlabošanas darbības tiek plānotas, balstoties uz integrētās aprūpes rekomendāciju kopumu un rekomendāciju kopumu epidemioloģisko prasību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infrastruktūras uzlabošanas darbības paredz ārstniecības iestāžu infrastruktūras struktūrvienību attīstību atbilstoši ārstniecības iestādes sniegtajiem primārajiem, sekundārajiem, ambulatorajiem un stacionārajiem valsts apmaksātajiem veselības aprūpes pakalpojumiem un programmām saskaņā ar normatīvo regulējumu veselības aprūpes pakalpojumu organizēšanas un samaksas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projektā tiek sniegts komercdarbības atbalsts  saskaņā ar </w:t>
      </w:r>
      <w:r w:rsidR="00000000" w:rsidRPr="00000000" w:rsidDel="00000000">
        <w:rPr>
          <w:rtl w:val="0"/>
        </w:rPr>
        <w:t xml:space="preserve">Komisijas lēmumu (2012/21/ES) par Līguma par ES darbību 106. panta 2. punkta piemērošanu valsts atbalstam attiecībā uz kompensāciju par sabiedriskajiem pakalpojumiem dažiem uzņēmumiem, kuriem uzticēts sniegt pakalpojumus ar vispārēju tautsaimniecisku nozīmi</w:t>
      </w:r>
      <w:r w:rsidR="00000000" w:rsidRPr="00000000" w:rsidDel="00000000">
        <w:rPr>
          <w:rtl w:val="0"/>
        </w:rPr>
        <w:t xml:space="preserve"> (turpmāk – Eiropas Komisijas lēmums Nr. 2012/21/ES);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darbības ir vērstas uz </w:t>
      </w:r>
      <w:r w:rsidR="00000000" w:rsidRPr="00000000" w:rsidDel="00000000">
        <w:rPr>
          <w:rtl w:val="0"/>
        </w:rPr>
        <w:t xml:space="preserve">Eiropas Parlamenta un Padomes 2021. gada 12. februāra Regulas (ES) 2021/241, ar ko izveido Atveseļošanas un noturības mehānismu</w:t>
      </w:r>
      <w:r w:rsidR="00000000" w:rsidRPr="00000000" w:rsidDel="00000000">
        <w:rPr>
          <w:rtl w:val="0"/>
        </w:rPr>
        <w:t xml:space="preserve"> </w:t>
      </w:r>
      <w:r w:rsidR="00000000" w:rsidRPr="00000000" w:rsidDel="00000000">
        <w:rPr>
          <w:rtl w:val="0"/>
        </w:rPr>
        <w:t xml:space="preserve"> (turpmāk – regula Nr. 2021/241),</w:t>
      </w:r>
      <w:r w:rsidR="00000000" w:rsidRPr="00000000" w:rsidDel="00000000">
        <w:rPr>
          <w:rtl w:val="0"/>
        </w:rPr>
        <w:t xml:space="preserve"> 5. panta 2. punkta </w:t>
      </w:r>
      <w:r w:rsidR="00000000" w:rsidRPr="00000000" w:rsidDel="00000000">
        <w:rPr>
          <w:rtl w:val="0"/>
        </w:rPr>
        <w:t xml:space="preserve">un </w:t>
      </w:r>
      <w:r w:rsidR="00000000" w:rsidRPr="00000000" w:rsidDel="00000000">
        <w:rPr>
          <w:rtl w:val="0"/>
        </w:rPr>
        <w:t xml:space="preserve">Eiropas Parlamenta un Padomes 2020. gada 18. jūnija Regulas (ES) 2020/852 par regulējuma izveidi ilgtspējīgu ieguldījumu veicināšanai un ar kuru groza Regulu (ES) 2019/2088</w:t>
      </w:r>
      <w:r w:rsidR="00000000" w:rsidRPr="00000000" w:rsidDel="00000000">
        <w:rPr>
          <w:rtl w:val="0"/>
        </w:rPr>
        <w:t xml:space="preserve">, 17. panta principa "Nenodarīt būtisku kaitējumu" vides mērķu sasniegšanu.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Nozares ministrija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minēto vērtējumu par projektu nosūta finansējuma saņēmējam un līgumslēdzējam divu mēnešu laikā pēc tam, kad finansējuma saņēmējs ir ievadījis projekta datus vadības informācijas sistēmā. Projekta vērtējums var būt "atbilst", "neatbilst" vai "novēršami trūkumi".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projekta vērtējums ir "novēršami trūkumi", finansējuma saņēmējs mēneša laikā no vērtējuma saņemšanas brīža veic precizējumus projektā vadības informācijas sistēmā un nozares ministrija mēneša laikā atkārtoti sniedz vērtējumu.  Vērtējumu atkārtoti sniedz ne vairāk kā divas reizes.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finansējuma saņēmējs neveic projekta precizējumus atbilstoši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minētajai kārtībai vai projekta vērtējums ir "neatbilst", projekts netiek saskaņots un līgums par projekta īstenošanu netiek slēgts. Nozares ministrija var uzaicināt finansējuma saņēmēju iesniegt projektu atkārtoti.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Jebkuras izmaiņas līgumā par projekta īstenošanu, kas skar finansējumu, šo noteikumu </w:t>
      </w:r>
      <w:r w:rsidR="00000000" w:rsidRPr="00000000" w:rsidDel="00000000">
        <w:rPr>
          <w:rtl w:val="0"/>
        </w:rPr>
        <w:t xml:space="preserve">8.1.</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noteikto rādītāju  sasniegšanu un termiņus,  finansējuma saņēmējs vadības informācijas sistēmā saskaņo ar nozares ministriju. Nozares ministrija atzinumu sniedz mēneša laikā.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Investīcijas finansējums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Investīcijas ietvaros kopējais attiecināmais finansējums ir 181 042 625 </w:t>
      </w:r>
      <w:r w:rsidR="00000000" w:rsidRPr="00000000" w:rsidDel="00000000">
        <w:rPr>
          <w:i w:val="1"/>
          <w:rtl w:val="0"/>
        </w:rPr>
        <w:t xml:space="preserve">euro </w:t>
      </w:r>
      <w:r w:rsidR="00000000" w:rsidRPr="00000000" w:rsidDel="00000000">
        <w:rPr>
          <w:rtl w:val="0"/>
        </w:rPr>
        <w:t xml:space="preserve">(finansējums no ietaupījuma – 147 626 </w:t>
      </w:r>
      <w:r w:rsidR="00000000" w:rsidRPr="00000000" w:rsidDel="00000000">
        <w:rPr>
          <w:i w:val="1"/>
          <w:rtl w:val="0"/>
        </w:rPr>
        <w:t xml:space="preserve">euro</w:t>
      </w:r>
      <w:r w:rsidR="00000000" w:rsidRPr="00000000" w:rsidDel="00000000">
        <w:rPr>
          <w:rtl w:val="0"/>
        </w:rPr>
        <w:t xml:space="preserve">), tai skaitā Atveseļošanas fonda finansējums – 149 622 005 </w:t>
      </w:r>
      <w:r w:rsidR="00000000" w:rsidRPr="00000000" w:rsidDel="00000000">
        <w:rPr>
          <w:i w:val="1"/>
          <w:rtl w:val="0"/>
        </w:rPr>
        <w:t xml:space="preserve">euro </w:t>
      </w:r>
      <w:r w:rsidR="00000000" w:rsidRPr="00000000" w:rsidDel="00000000">
        <w:rPr>
          <w:rtl w:val="0"/>
        </w:rPr>
        <w:t xml:space="preserve">(finansējums no Atveseļošanas fonda finansējuma ietaupījuma – 122 005 </w:t>
      </w:r>
      <w:r w:rsidR="00000000" w:rsidRPr="00000000" w:rsidDel="00000000">
        <w:rPr>
          <w:i w:val="1"/>
          <w:rtl w:val="0"/>
        </w:rPr>
        <w:t xml:space="preserve">euro</w:t>
      </w:r>
      <w:r w:rsidR="00000000" w:rsidRPr="00000000" w:rsidDel="00000000">
        <w:rPr>
          <w:rtl w:val="0"/>
        </w:rPr>
        <w:t xml:space="preserve">) un valsts budžeta finansējums PVN segšanai – ne vairāk kā 31 420 620 </w:t>
      </w:r>
      <w:r w:rsidR="00000000" w:rsidRPr="00000000" w:rsidDel="00000000">
        <w:rPr>
          <w:i w:val="1"/>
          <w:rtl w:val="0"/>
        </w:rPr>
        <w:t xml:space="preserve">euro</w:t>
      </w:r>
      <w:r w:rsidR="00000000" w:rsidRPr="00000000" w:rsidDel="00000000">
        <w:rPr>
          <w:rtl w:val="0"/>
        </w:rPr>
        <w:t xml:space="preserve"> (finansējums no ietaupījuma – 25 621 </w:t>
      </w:r>
      <w:r w:rsidR="00000000" w:rsidRPr="00000000" w:rsidDel="00000000">
        <w:rPr>
          <w:i w:val="1"/>
          <w:rtl w:val="0"/>
        </w:rPr>
        <w:t xml:space="preserve">euro</w:t>
      </w:r>
      <w:r w:rsidR="00000000" w:rsidRPr="00000000" w:rsidDel="00000000">
        <w:rPr>
          <w:rtl w:val="0"/>
        </w:rPr>
        <w:t xml:space="preserve">) (tai skaitā saskaņā ar šo noteikumu </w:t>
      </w:r>
      <w:r w:rsidR="00000000" w:rsidRPr="00000000" w:rsidDel="00000000">
        <w:rPr>
          <w:rtl w:val="0"/>
        </w:rPr>
        <w:t xml:space="preserve">37. </w:t>
      </w:r>
      <w:r w:rsidR="00000000" w:rsidRPr="00000000" w:rsidDel="00000000">
        <w:rPr>
          <w:rtl w:val="0"/>
        </w:rPr>
        <w:t xml:space="preserve">punktu</w:t>
      </w:r>
      <w:r w:rsidR="00000000" w:rsidRPr="00000000" w:rsidDel="00000000">
        <w:rPr>
          <w:rtl w:val="0"/>
        </w:rPr>
        <w:t xml:space="preserve"> noteiktais privātais finansējums, par kuru samazināts valsts budžeta finansējums).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Atveseļošanas fonda finansējums nesedz investīcijas pievienotās vērtības nodokļa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minētais nacionālais valsts budžeta finansējums katra finansējuma saņēmēja projekta ietvaros nosakāms atbilstoši  infrastruktūras izmantošanas proporcijai valsts apmaksāto veselības aprūpes pakalpojumu sniegšanai un citu darbību veikšanai, ko aprēķina saskaņā ar šo noteikumu </w:t>
      </w:r>
      <w:r w:rsidR="00000000" w:rsidRPr="00000000" w:rsidDel="00000000">
        <w:rPr>
          <w:rtl w:val="0"/>
        </w:rPr>
        <w:t xml:space="preserve">37.</w:t>
      </w:r>
      <w:r w:rsidR="00000000" w:rsidRPr="00000000" w:rsidDel="00000000">
        <w:rPr>
          <w:rtl w:val="0"/>
        </w:rPr>
        <w:t xml:space="preserve"> punktu (turpmāk – infrastruktūras izmantošanas proporcija).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Individuāli katram finansējuma saņēmēja projektam pieejamais publiskais finansējums, tai skaitā  Atveseļošanas fonda un valsts budžeta finansējums, nav lielāks, kā noteikts šo noteikumu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Investīcijas projekta īstenošanas laikā finansējuma saņēmējs saskaņā ar līgumu par projekta īstenošanu var saņemt: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saskaņā ar projektā noslēgto pakalpojumu, preču piegādes vai būvdarbu līgumiem. Līgumslēdzējs, pamatojoties uz finansējuma saņēmēja pieprasījumu un atbilstoši projekta finansēšanas plānam, avansa maksājumu var piešķirt vairākos maksājumos, ievērojot, ka nākamo avansu var saņemt pēc tam, kad iepriekšējais ir apgūts pilnā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sasniedzot šo noteikumu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minēto investīcijas rādītāju.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minētā avansa un šo noteikumu </w:t>
      </w:r>
      <w:r w:rsidR="00000000" w:rsidRPr="00000000" w:rsidDel="00000000">
        <w:rPr>
          <w:rtl w:val="0"/>
        </w:rPr>
        <w:t xml:space="preserve">20.2.</w:t>
      </w:r>
      <w:r w:rsidR="00000000" w:rsidRPr="00000000" w:rsidDel="00000000">
        <w:rPr>
          <w:rtl w:val="0"/>
        </w:rPr>
        <w:t xml:space="preserve"> apakšpunktā</w:t>
      </w:r>
      <w:r w:rsidR="00000000" w:rsidRPr="00000000" w:rsidDel="00000000">
        <w:rPr>
          <w:rtl w:val="0"/>
        </w:rPr>
        <w:t xml:space="preserve"> minētā starpposma maksājumu kopsumma nepārsniedz 90 % no kopējā projekta investīcijas finansējuma.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Komercdarbības atbalsta piešķiršanas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Komercdarbības atbalstu piešķir saskaņā ar </w:t>
      </w:r>
      <w:r w:rsidR="00000000" w:rsidRPr="00000000" w:rsidDel="00000000">
        <w:rPr>
          <w:rtl w:val="0"/>
        </w:rPr>
        <w:t xml:space="preserve">Eiropas Komisijas lēmumu Nr. 2012/21/ES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Par komercdarbības atbalsta piešķiršanas dienu ir uzskatāma diena, kad sniegts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minētais nozares ministrijas atzinums par projekta vērtējuma atbilstību.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Finansējuma saņēmējs pirms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pienākuma izpildes atbilstoši normatīvajiem aktiem veselības aprūpes organizēšanas un samaksas jomā ir noslēdzis ar Nacionālo veselības dienestu (turpmāk – pilnvarojuma uzlicējs) deleģēšanas līgumu par sabiedrisko pakalpojumu sniegšanu. Līgumā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konkrētus sniedzamos sabiedriskos pakalpojumus;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sabiedrisko pakalpojumu sniedzējam par nepieciešamajām investīcijām sabiedrisko pakalpojumu sniegšanas infrastruktūrā, lai nodrošinātu minētos pakalpojumus saskaņā ar katram konkrētajam pakalpojumam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laiku, kas nepārsniedz 10 gadus;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sabiedrisko pakalpojumu sniegšanas teritoriju;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sabiedrisko pakalpojumu sniedzējam piešķirto ekskluzīvo vai īpašo tiesību būtību;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iespēju saņemt atlīdzības (kompensācijas) maksājumus un nosacījumus atlīdzības (kompensācijas) maksājumu aprēķināšanai, kontrolei un pārskatīšanai, kā arī atlīdzības (kompensācijas) maksājumu pārmaksas novēršanai un atmaksāšanai;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w:t>
      </w:r>
      <w:r w:rsidR="00000000" w:rsidRPr="00000000" w:rsidDel="00000000">
        <w:rPr>
          <w:rtl w:val="0"/>
        </w:rPr>
        <w:t xml:space="preserve">Eiropas Komisijas lēmumu Nr. 2012/21/ES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Finansējuma saņēmējs, aizpildot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un </w:t>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minētās definētās projekta sadaļas, projektam pievieno vispārējas tautsaimnieciskas nozīmes pakalpojuma sniegšanas pilnvarojuma uzlicēja apliecinājumu, ka tas kontrolēs un pārskatīs šo noteikumu </w:t>
      </w:r>
      <w:r w:rsidR="00000000" w:rsidRPr="00000000" w:rsidDel="00000000">
        <w:rPr>
          <w:rtl w:val="0"/>
        </w:rPr>
        <w:t xml:space="preserve">25.6.</w:t>
      </w:r>
      <w:r w:rsidR="00000000" w:rsidRPr="00000000" w:rsidDel="00000000">
        <w:rPr>
          <w:rtl w:val="0"/>
        </w:rPr>
        <w:t xml:space="preserve"> apakšpunktā</w:t>
      </w:r>
      <w:r w:rsidR="00000000" w:rsidRPr="00000000" w:rsidDel="00000000">
        <w:rPr>
          <w:rtl w:val="0"/>
        </w:rPr>
        <w:t xml:space="preserve"> minētos deleģēšanas līgumā paredzētos atlīdzības (kompensācijas) maksājumus, kā arī novērsīs un atgūs deleģēšanas līgumā paredzēto atlīdzības (kompensācijas) maksājumu pārmaksu, ievērojot </w:t>
      </w:r>
      <w:r w:rsidR="00000000" w:rsidRPr="00000000" w:rsidDel="00000000">
        <w:rPr>
          <w:rtl w:val="0"/>
        </w:rPr>
        <w:t xml:space="preserve">Eiropas Komisijas lēmumā Nr. 2012/21/ES</w:t>
      </w:r>
      <w:r w:rsidR="00000000" w:rsidRPr="00000000" w:rsidDel="00000000">
        <w:rPr>
          <w:rtl w:val="0"/>
        </w:rPr>
        <w:t xml:space="preserve"> noteikto pārbaužu regularitāti, bet ne retāk kā reizi trijos gados un pilnvarojuma akta darbības perioda beigās.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tiek pārkāptas šajos noteikumos noteiktās komercdarbības atbalsta piešķiršanas prasības vispārējas tautsaimnieciskas nozīmes pakalpojuma sniegšanai, finansējuma saņēmējam ir pienākums atmaksāt valsts atbalsta sniedzējam visu projekta ietvaros saņemto nelikumīgo komercdarbības atbalstu kopā ar procentiem no līdzekļiem, kas ir brīvi no komercdarbības atbalsta, saskaņā ar Komercdarbības atbalsta kontroles likuma  </w:t>
      </w:r>
      <w:r w:rsidR="00000000" w:rsidRPr="00000000" w:rsidDel="00000000">
        <w:rPr>
          <w:rtl w:val="0"/>
        </w:rPr>
        <w:t xml:space="preserve">IV</w:t>
      </w:r>
      <w:r w:rsidR="00000000" w:rsidRPr="00000000" w:rsidDel="00000000">
        <w:rPr>
          <w:rtl w:val="0"/>
        </w:rPr>
        <w:t xml:space="preserve"> vai </w:t>
      </w:r>
      <w:r w:rsidR="00000000" w:rsidRPr="00000000" w:rsidDel="00000000">
        <w:rPr>
          <w:rtl w:val="0"/>
        </w:rPr>
        <w:t xml:space="preserve">V</w:t>
      </w:r>
      <w:r w:rsidR="00000000" w:rsidRPr="00000000" w:rsidDel="00000000">
        <w:rPr>
          <w:rtl w:val="0"/>
        </w:rPr>
        <w:t xml:space="preserve"> nodaļu.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Pilnvarojuma uzlicējam un  finansējuma saņēmējam ir pienākums dokumentāciju par saņemto komercdarbības atbalstu glabāt 10 gadus no pilnvarojuma termiņa beigām, savukārt nozares ministrijai, kas nav pilnvarojuma uzlicējs, bet piešķir komercdarbības atbalstu saskaņā ar šīs nodaļas prasībām, ir pienākums dokumentāciju, kas saistīta ar komercdarbības atbalsta piešķiršanu, glabāt 10 gadus no atbalsta piešķiršanas dienas.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minēto komercdarbības atbalstu drīkst kumulēt ar citu komercdarbības atbalstu, kas sniegts saskaņā ar </w:t>
      </w:r>
      <w:r w:rsidR="00000000" w:rsidRPr="00000000" w:rsidDel="00000000">
        <w:rPr>
          <w:rtl w:val="0"/>
        </w:rPr>
        <w:t xml:space="preserve">Eiropas Komisijas lēmumu Nr. 2012/21/ES</w:t>
      </w:r>
      <w:r w:rsidR="00000000" w:rsidRPr="00000000" w:rsidDel="00000000">
        <w:rPr>
          <w:rtl w:val="0"/>
        </w:rPr>
        <w:t xml:space="preserve">, citas atbalsta programmas vai individuālā atbalsta projekta ietvaros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Investīcijas atbalstāmās darbības un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Lai attīstītu infrastruktūru, kurā  tiek nodrošināti valsts apmaksāti veselības aprūpes pakalpojumi, investīciju ietvaros ir atbalstāmas šādas 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nodrošināšana;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tehnoloģiju iegāde, piegāde un montāža;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audits.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30.1.</w:t>
      </w:r>
      <w:r w:rsidR="00000000" w:rsidRPr="00000000" w:rsidDel="00000000">
        <w:rPr>
          <w:rtl w:val="0"/>
        </w:rPr>
        <w:t xml:space="preserve"> apakšpunktā</w:t>
      </w:r>
      <w:r w:rsidR="00000000" w:rsidRPr="00000000" w:rsidDel="00000000">
        <w:rPr>
          <w:rtl w:val="0"/>
        </w:rPr>
        <w:t xml:space="preserve"> minētās atbalstāmās darbības ietvaros ir attiecināmas finansējuma saņēmēja projekta vadības personāla atlīdzības izmaksas, kas radušās uz darba līguma vai pakalpojuma līguma pamata, tai skaitā normatīvajos aktos atlīdzības politikas un nodokļu jomā noteiktās piemaksas un nodokļi, šādā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attiecināmās izmaksas ir 5 000 000 </w:t>
      </w:r>
      <w:r w:rsidR="00000000" w:rsidRPr="00000000" w:rsidDel="00000000">
        <w:rPr>
          <w:i w:val="1"/>
          <w:rtl w:val="0"/>
        </w:rPr>
        <w:t xml:space="preserve">euro </w:t>
      </w:r>
      <w:r w:rsidR="00000000" w:rsidRPr="00000000" w:rsidDel="00000000">
        <w:rPr>
          <w:rtl w:val="0"/>
        </w:rPr>
        <w:t xml:space="preserve">vai lielākas, – nepārsniedzot 56 580 </w:t>
      </w:r>
      <w:r w:rsidR="00000000" w:rsidRPr="00000000" w:rsidDel="00000000">
        <w:rPr>
          <w:i w:val="1"/>
          <w:rtl w:val="0"/>
        </w:rPr>
        <w:t xml:space="preserve">euro </w:t>
      </w:r>
      <w:r w:rsidR="00000000" w:rsidRPr="00000000" w:rsidDel="00000000">
        <w:rPr>
          <w:rtl w:val="0"/>
        </w:rPr>
        <w:t xml:space="preserve">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attiecināmās izmaksas ir 4 999 999 </w:t>
      </w:r>
      <w:r w:rsidR="00000000" w:rsidRPr="00000000" w:rsidDel="00000000">
        <w:rPr>
          <w:i w:val="1"/>
          <w:rtl w:val="0"/>
        </w:rPr>
        <w:t xml:space="preserve">euro</w:t>
      </w:r>
      <w:r w:rsidR="00000000" w:rsidRPr="00000000" w:rsidDel="00000000">
        <w:rPr>
          <w:rtl w:val="0"/>
        </w:rPr>
        <w:t xml:space="preserve"> vai mazākas, aprēķina ar minimālo izmaksu bāzi 24 426 </w:t>
      </w:r>
      <w:r w:rsidR="00000000" w:rsidRPr="00000000" w:rsidDel="00000000">
        <w:rPr>
          <w:i w:val="1"/>
          <w:rtl w:val="0"/>
        </w:rPr>
        <w:t xml:space="preserve">euro </w:t>
      </w:r>
      <w:r w:rsidR="00000000" w:rsidRPr="00000000" w:rsidDel="00000000">
        <w:rPr>
          <w:rtl w:val="0"/>
        </w:rPr>
        <w:t xml:space="preserve">gadā, pieskaitot 0,64 procentus no projekta attiecināmajām izmaksām, bet neieskaitot projekta vadības personāla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30.2.</w:t>
      </w:r>
      <w:r w:rsidR="00000000" w:rsidRPr="00000000" w:rsidDel="00000000">
        <w:rPr>
          <w:rtl w:val="0"/>
        </w:rPr>
        <w:t xml:space="preserve"> apakšpunktā</w:t>
      </w:r>
      <w:r w:rsidR="00000000" w:rsidRPr="00000000" w:rsidDel="00000000">
        <w:rPr>
          <w:rtl w:val="0"/>
        </w:rPr>
        <w:t xml:space="preserve"> minētās atbalstāmās darbības ietvaros ir attiecināmas šādas ar būvdarbiem saistītās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dokumentācijas un arhitektoniski mākslinieciskās izpētes izstrādes, būvprojekta minimālā sastāvā un būvprojekta izstrādes izmaksas, projekta ekspertīžu izmaksas, autoruzraudzības un būvuzraudzības izmaksas un būvniecības jomu regulējošajos normatīvajos aktos noteiktās attiecīgo būvspeciālistu obligātās apdrošināšanas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izmaksas, tai skaitā izmaksas, kas saistītas ar objektu nodošanu ekspluatācijā.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funkcionalitātes nodrošināšanai nepieciešamās ūdenssaimniecības, siltumapgādes un elektroenerģijas pieslēguma būvniecības, pārbūves vai atjaunošanas izmaksas, tostarp pieslēguma izveidošanas izmaksas efektīvai centralizētas siltumapgādes sistēmai.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30.3.</w:t>
      </w:r>
      <w:r w:rsidR="00000000" w:rsidRPr="00000000" w:rsidDel="00000000">
        <w:rPr>
          <w:rtl w:val="0"/>
        </w:rPr>
        <w:t xml:space="preserve"> apakšpunktā</w:t>
      </w:r>
      <w:r w:rsidR="00000000" w:rsidRPr="00000000" w:rsidDel="00000000">
        <w:rPr>
          <w:rtl w:val="0"/>
        </w:rPr>
        <w:t xml:space="preserve"> minētās atbalstāmās darbības ietvaros ir attiecināmas šādas ārstniecības procesam tieši nepieciešamo tehnoloģiju piegādes (tai skaitā iegādes, piegādes un montāžas)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tehnoloģijas, tai skaitā iebūvējamās medicīniskās tehnoloģijas;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iekārtas, ierīces, mēbeles un aprīkojums;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tehnoloģiju aprīkojums.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Investīciju projektā attiecinot medicīnisko tehnoloģiju, kuru vienas vienības piegādes izmaksas pārsniedz 20 000 </w:t>
      </w:r>
      <w:r w:rsidR="00000000" w:rsidRPr="00000000" w:rsidDel="00000000">
        <w:rPr>
          <w:i w:val="1"/>
          <w:rtl w:val="0"/>
        </w:rPr>
        <w:t xml:space="preserve">euro</w:t>
      </w:r>
      <w:r w:rsidR="00000000" w:rsidRPr="00000000" w:rsidDel="00000000">
        <w:rPr>
          <w:rtl w:val="0"/>
        </w:rPr>
        <w:t xml:space="preserve">, ieskaitot pievienotās vērtības nodokli, nepieciešams tehnoloģiju komisijas  saskaņojums.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30.4.</w:t>
      </w:r>
      <w:r w:rsidR="00000000" w:rsidRPr="00000000" w:rsidDel="00000000">
        <w:rPr>
          <w:rtl w:val="0"/>
        </w:rPr>
        <w:t xml:space="preserve"> apakšpunktā</w:t>
      </w:r>
      <w:r w:rsidR="00000000" w:rsidRPr="00000000" w:rsidDel="00000000">
        <w:rPr>
          <w:rtl w:val="0"/>
        </w:rPr>
        <w:t xml:space="preserve"> minētā atbalstāmā darbība iekļauj neatkarīga revidenta ziņojumu par saskaņoto procedūru veikšanu saistībā ar projekta darbību un šo noteikumu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minētā rādītāja  sasniegšanu.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Saskaņā ar regulas Nr. 2021/241 17. panta 2. punktu projekta izmaksas ir attiecināmas, ja tās atbilst šajos noteikumos minētajām izmaksu pozīcijām un ir radušās ar 2020. gada 1. februāri. Projektā nedrīkst būt iekļautas darbības, kas ir pabeigtas uz Atveseļošanas fonda plāna apstiprināšanas brīdi Eiropas Komisijā un Eiropas Padomē 2021. gada 13. jūlijā.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Projekta īstenošanas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30.</w:t>
      </w:r>
      <w:r w:rsidR="00000000" w:rsidRPr="00000000" w:rsidDel="00000000">
        <w:rPr>
          <w:rtl w:val="0"/>
        </w:rPr>
        <w:t xml:space="preserve"> punktu</w:t>
      </w:r>
      <w:r w:rsidR="00000000" w:rsidRPr="00000000" w:rsidDel="00000000">
        <w:rPr>
          <w:rtl w:val="0"/>
        </w:rPr>
        <w:t xml:space="preserve"> finansējuma saņēmējs aprēķina infrastruktūras izmantošanas proporciju un piemēro to projekta kopējam finansējumam, nosakot publiskā un privātā finansējuma apmēru, atbilstoši šādam aprēķinam: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kopējo publisko izmaksu maksimālo apmēru nosaka,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2076450" cy="78105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2076450" cy="781050"/>
                    </a:xfrm>
                    <a:prstGeom prst="rect"/>
                    <a:ln/>
                  </pic:spPr>
                </pic:pic>
              </a:graphicData>
            </a:graphic>
          </wp:inline>
        </w:drawing>
      </w:r>
      <w:r w:rsidR="00000000" w:rsidRPr="00000000" w:rsidDel="00000000">
        <w:rPr>
          <w:b w:val="1"/>
          <w:i w:val="1"/>
          <w:rtl w:val="0"/>
        </w:rPr>
        <w:t xml:space="preserve">x</w:t>
      </w:r>
      <w:r w:rsidR="00000000" w:rsidRPr="00000000" w:rsidDel="00000000">
        <w:rPr>
          <w:rtl w:val="0"/>
        </w:rPr>
        <w:t xml:space="preserve"> – gadu skaits, kuriem tika aprēķināts projekta publisko izmaksu maksimālais apmērs;</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I</w:t>
      </w:r>
      <w:r w:rsidR="00000000" w:rsidRPr="00000000" w:rsidDel="00000000">
        <w:rPr>
          <w:b w:val="1"/>
          <w:i w:val="1"/>
          <w:vertAlign w:val="subscript"/>
          <w:rtl w:val="0"/>
        </w:rPr>
        <w:t xml:space="preserve">publ</w:t>
      </w:r>
      <w:r w:rsidR="00000000" w:rsidRPr="00000000" w:rsidDel="00000000">
        <w:rPr>
          <w:rtl w:val="0"/>
        </w:rPr>
        <w:t xml:space="preserve"> – attiecīgā gada publisko izmaksu maksimālais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gada publisko izmaksu maksimālo apmēru nosaka,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1981199" cy="714375"/>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1981199" cy="714375"/>
                    </a:xfrm>
                    <a:prstGeom prst="rect"/>
                    <a:ln/>
                  </pic:spPr>
                </pic:pic>
              </a:graphicData>
            </a:graphic>
          </wp:inline>
        </w:drawing>
      </w:r>
      <w:r w:rsidR="00000000" w:rsidRPr="00000000" w:rsidDel="00000000">
        <w:rPr>
          <w:b w:val="1"/>
          <w:i w:val="1"/>
          <w:rtl w:val="0"/>
        </w:rPr>
        <w:t xml:space="preserve">y</w:t>
      </w:r>
      <w:r w:rsidR="00000000" w:rsidRPr="00000000" w:rsidDel="00000000">
        <w:rPr>
          <w:rtl w:val="0"/>
        </w:rPr>
        <w:t xml:space="preserve"> – attiecīgā projekta ietvaros veicamo atbalstāmo darbību skaits;</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S</w:t>
      </w:r>
      <w:r w:rsidR="00000000" w:rsidRPr="00000000" w:rsidDel="00000000">
        <w:rPr>
          <w:rtl w:val="0"/>
        </w:rPr>
        <w:t xml:space="preserve"> – attiecīgās atbalstāmās darbības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L</w:t>
      </w:r>
      <w:r w:rsidR="00000000" w:rsidRPr="00000000" w:rsidDel="00000000">
        <w:rPr>
          <w:b w:val="1"/>
          <w:i w:val="1"/>
          <w:vertAlign w:val="subscript"/>
          <w:rtl w:val="0"/>
        </w:rPr>
        <w:t xml:space="preserve">v</w:t>
      </w:r>
      <w:r w:rsidR="00000000" w:rsidRPr="00000000" w:rsidDel="00000000">
        <w:rPr>
          <w:rtl w:val="0"/>
        </w:rPr>
        <w:t xml:space="preserve"> – uz attiecīgo atbalstāmo darbību attiecināmās infrastruktūras izmantošanas laiks valsts apmaksāto veselības aprūpes pakalpojumu sniegšanai (stundas gadā);</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L</w:t>
      </w:r>
      <w:r w:rsidR="00000000" w:rsidRPr="00000000" w:rsidDel="00000000">
        <w:rPr>
          <w:b w:val="1"/>
          <w:i w:val="1"/>
          <w:vertAlign w:val="subscript"/>
          <w:rtl w:val="0"/>
        </w:rPr>
        <w:t xml:space="preserve">m</w:t>
      </w:r>
      <w:r w:rsidR="00000000" w:rsidRPr="00000000" w:rsidDel="00000000">
        <w:rPr>
          <w:rtl w:val="0"/>
        </w:rPr>
        <w:t xml:space="preserve"> – uz attiecīgo atbalstāmo darbību attiecināmās infrastruktūras izmantošanas laiks citu darbību veikšanai (stundas gadā);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attiecīgo atbalstāmo darbību attiecināmajai infrastruktūrai, kurai nav iespējams noteikt infrastruktūras izmantošanas laika sadalījumu valsts apmaksāto veselības aprūpes pakalpojumu sniegšanai un citu darbību veikšanai, laika sadalījumu nosaka atbilstoši vidējai ārstniecības iestādes infrastruktūras izmantošanas proporcijai, kas aprēķināta, infrastruktūrai, kurai ir iespējams noteikt infrastruktūras izmantošanas laika sadalījumu valsts apmaksāto veselības aprūpes pakalpojumu sniegšanai un citu darbību veikšanai, sadalot kopējo publisko izmaksu maksimālo apmēru ar šīs infrastruktūras kopējām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Finansējuma saņēmējs infrastruktūras izmantošanas proporciju aprēķina, izmantojot iepriekšējā gada datus vai divu iepriekšējo gadu vidējos datus par infrastruktūras izmantošanu. Ja iepriekšējo gadu dati par infrastruktūras izmantošanu nav pieejami vai tie atšķiras no attīstāmās infrastruktūras izmantošanas prognozes, finansējuma saņēmējs izmanto plānotos infrastruktūras izmantošanas datus līdz brīdim, kad ir pieejami dati par attīstītās infrastruktūras izmantošanu.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Finansējuma saņēmējs infrastruktūras izmantošanas proporciju iesniedz nozares ministrijai: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 kārtībā, iesniedzot projektu vadības informācijas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kopā ar projekta noslēguma maksājuma pieprasījumu.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21.01.2025. noteikumiem Nr. 56)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pēc līguma par projekta īstenošanu noslēgšanas palielinās projekta publisko izmaksu maksimālais apmērs, kas aprēķināts saskaņā ar šo noteikumu </w:t>
      </w:r>
      <w:r w:rsidR="00000000" w:rsidRPr="00000000" w:rsidDel="00000000">
        <w:rPr>
          <w:rtl w:val="0"/>
        </w:rPr>
        <w:t xml:space="preserve">37.1.</w:t>
      </w:r>
      <w:r w:rsidR="00000000" w:rsidRPr="00000000" w:rsidDel="00000000">
        <w:rPr>
          <w:rtl w:val="0"/>
        </w:rPr>
        <w:t xml:space="preserve"> apakšpunktu</w:t>
      </w:r>
      <w:r w:rsidR="00000000" w:rsidRPr="00000000" w:rsidDel="00000000">
        <w:rPr>
          <w:rtl w:val="0"/>
        </w:rPr>
        <w:t xml:space="preserve">, valsts atbalsta sniedzējs kopējās publiskās projekta attiecināmās izmaksas nepalielina.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Finansējuma saņēmējs, iesniedzot projekta noslēguma maksājuma pieprasījumu, nodrošina, ka saskaņā ar šo noteikumu </w:t>
      </w:r>
      <w:r w:rsidR="00000000" w:rsidRPr="00000000" w:rsidDel="00000000">
        <w:rPr>
          <w:rtl w:val="0"/>
        </w:rPr>
        <w:t xml:space="preserve">37.1.</w:t>
      </w:r>
      <w:r w:rsidR="00000000" w:rsidRPr="00000000" w:rsidDel="00000000">
        <w:rPr>
          <w:rtl w:val="0"/>
        </w:rPr>
        <w:t xml:space="preserve"> apakšpunktu</w:t>
      </w:r>
      <w:r w:rsidR="00000000" w:rsidRPr="00000000" w:rsidDel="00000000">
        <w:rPr>
          <w:rtl w:val="0"/>
        </w:rPr>
        <w:t xml:space="preserve"> aprēķinātais projekta kopējais publisko izmaksu maksimālais apmērs atbilst piešķirtajam kopējam publisko izmaksu maksimālajam apmēram, attiecīgi palielinot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minēto privāto līdzfinansējumu.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Lai attiecinātu pievienotās vērtības nodokļa izmaksas, finansējuma saņēmējs projekta maksājuma pieprasījumam pievieno apliecinājumu, ka minētās izmaksas nav un netiks atgūtas no valsts budžeta priekšnodokļa veidā.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Līgumā par projekta īstenošanu paredz: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finansēšanas plāna iesniegšanas kārtību;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plāna iesniegšanas kārtību;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avansa, starpposma un noslēguma maksājuma pieprasījuma iesniegšanas kārtību;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iesniedz dokumentus, kas apliecina šo noteikumu </w:t>
      </w:r>
      <w:r w:rsidR="00000000" w:rsidRPr="00000000" w:rsidDel="00000000">
        <w:rPr>
          <w:rtl w:val="0"/>
        </w:rPr>
        <w:t xml:space="preserve">8.1.</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minēto rādītāju sasniegšanu: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apakšpunktā</w:t>
      </w:r>
      <w:r w:rsidR="00000000" w:rsidRPr="00000000" w:rsidDel="00000000">
        <w:rPr>
          <w:rtl w:val="0"/>
        </w:rPr>
        <w:t xml:space="preserve"> minētajam rādītājam:</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tehnoloģijas komisijas atzinums par pozitīvu tehnoloģijas saskaņojumu (kopija);</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ministrijas lēmums par pozitīvu tehnoloģijas saskaņojumu projektā (kopija);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minētajam rādītājam:</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īss rādītāja sasniegšanas apraksts, kas pierāda atbilstību </w:t>
      </w:r>
      <w:r w:rsidR="00000000" w:rsidRPr="00000000" w:rsidDel="00000000">
        <w:rPr>
          <w:rtl w:val="0"/>
        </w:rPr>
        <w:t xml:space="preserve">Padomes īstenošanas lēmuma par Latvijas atveseļošanas un noturības plāna novērtējuma apstiprināšanu Nr. 2021/0164 (NLE)</w:t>
      </w:r>
      <w:r w:rsidR="00000000" w:rsidRPr="00000000" w:rsidDel="00000000">
        <w:rPr>
          <w:rtl w:val="0"/>
        </w:rPr>
        <w:t xml:space="preserve"> pielikumā ietvertā mērķa un ieguldījuma aprakstam – stiprināt veselības aprūpes infrastruktūru slimnīcās;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pierādījumi par būvdarbu pabeigšanu un par to, ka ēka vai aprīkojums darbojas un atbilst normatīvajos aktos būvdarbu jomā noteiktajām kvalitātes prasībām, finansējuma saņēmēja rīcībā esošo dokumentu kopija, kas apliecina projekta pabeigšanu, un nozares ministrijas  apstiprinājums par projekta pabeigšanu.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vadības informācijas sistēmā ievada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un </w:t>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projekta datus, tai skaitā nosakot, ka: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saņēmējam ir pienākums vadības informācijas sistēmā ievadīt informāciju par kopējo noslēgto iepirkumu līgumu apjomu projektā;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saņēmējam ir pienākums vadības informācijas sistēmā ievadīt informāciju par noslēgtajiem iepirkumu līgumiem, kas ietver izvilkumu no tehniskās specifikācijas un pamato iepirkuma atbilstību projekta mērķim – nodrošināt visaptverošu, ilgtspējīgu un integrētu veselības aprūpes pakalpojumu attīstību atbalstāmajā infrastruktūrā;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kopā ar šo noteikumu </w:t>
      </w:r>
      <w:r w:rsidR="00000000" w:rsidRPr="00000000" w:rsidDel="00000000">
        <w:rPr>
          <w:rtl w:val="0"/>
        </w:rPr>
        <w:t xml:space="preserve">43.4.2. </w:t>
      </w:r>
      <w:r w:rsidR="00000000" w:rsidRPr="00000000" w:rsidDel="00000000">
        <w:rPr>
          <w:rtl w:val="0"/>
        </w:rPr>
        <w:t xml:space="preserve"> apakšpunktā</w:t>
      </w:r>
      <w:r w:rsidR="00000000" w:rsidRPr="00000000" w:rsidDel="00000000">
        <w:rPr>
          <w:rtl w:val="0"/>
        </w:rPr>
        <w:t xml:space="preserve"> minēto dokumentāciju iesniedz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 neatkarīga revidenta ziņojumu par saskaņoto procedūru veikšanu.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21.01.2025. noteikumiem Nr. 56)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Finansējuma saņēmējs saskaņā ar normatīvajiem aktiem par Atveseļošanas fonda plāna īstenošanas un uzraudzības kārtību maksājumu pieprasījumu datus uzkrāj un vadības informācijas sistēmā ievada līdz kārtējā gada 10. janvārim  un 10. jūlijam.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Finansējuma saņēmējs nodrošina informācijas un publicitātes pasākumus saskaņā ar </w:t>
      </w:r>
      <w:r w:rsidR="00000000" w:rsidRPr="00000000" w:rsidDel="00000000">
        <w:rPr>
          <w:rtl w:val="0"/>
        </w:rPr>
        <w:t xml:space="preserve">regulas Nr. 2021/241</w:t>
      </w:r>
      <w:r w:rsidR="00000000" w:rsidRPr="00000000" w:rsidDel="00000000">
        <w:rPr>
          <w:rtl w:val="0"/>
        </w:rPr>
        <w:t xml:space="preserve"> 34. pantu un Eiropas Komisijas un Latvijas Republikas Atveseļošanas un noturības mehānisma finansēšanas nolīguma 10. pantu.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Nr. 2021/241</w:t>
      </w:r>
      <w:r w:rsidR="00000000" w:rsidRPr="00000000" w:rsidDel="00000000">
        <w:rPr>
          <w:rtl w:val="0"/>
        </w:rPr>
        <w:t xml:space="preserve">  22. pantam finansējuma saņēmējs nodrošina, ka visā projekta īstenošanas laikā tiks ievēroti normatīvajos aktos noteiktie interešu konflikta, korupcijas un krāpšanas novēršanas un dubultā finansējuma novēršanas nosacījumi, kuriem iestājoties pret finansējuma saņēmēju atbilstoši normatīvajiem aktiem par Atveseļošanas fonda plāna īstenošanas un uzraudzības kārtību var tikt piemērotas attiecīgas korektīvās darbības.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Finansējuma saņēmējam ir pienākums nodrošināt, ka normatīvajos aktos par Atveseļošanas fonda plāna īstenošanas un uzraudzības kārtību minētajām institūcijām ir pieejama ar investīcijas projekta īstenošanu saistītā dokumentācija.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Nr. 2021/241</w:t>
      </w:r>
      <w:r w:rsidR="00000000" w:rsidRPr="00000000" w:rsidDel="00000000">
        <w:rPr>
          <w:rtl w:val="0"/>
        </w:rPr>
        <w:t xml:space="preserve"> 5. panta 2. punktam un </w:t>
      </w:r>
      <w:r w:rsidR="00000000" w:rsidRPr="00000000" w:rsidDel="00000000">
        <w:rPr>
          <w:rtl w:val="0"/>
        </w:rPr>
        <w:t xml:space="preserve">Eiropas Parlamenta un Padomes 2020. gada 18. jūnija Regulas (ES) 2020/852 par regulējuma izveidi ilgtspējīgu ieguldījumu veicināšanai un ar kuru groza Regulu (ES) 2019/2088</w:t>
      </w:r>
      <w:r w:rsidR="00000000" w:rsidRPr="00000000" w:rsidDel="00000000">
        <w:rPr>
          <w:rtl w:val="0"/>
        </w:rPr>
        <w:t xml:space="preserve">, 17. pantam nodrošina, ka tiek ievēroti šādi principa "Nenodarīt būtisku kaitējumu" vides mērķi: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klimata pārmaiņu mazināšana;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pielāgošanās klimata pārmaiņām;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ilgtspējīga ūdens un jūras resursu izmantošana un aizsardzība;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pāreja uz aprites ekonomiku, ieskaitot atkritumu rašanās novēršanu un to reciklēšanu;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piesārņojuma novēršana un kontrole;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bioloģiskās daudzveidības un ekosistēmu aizsardzība un atjaunošana;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projektā plānotie darbi netiek finansēti vai līdzfinansēti, kā arī tos nav plānots finansēt vai līdzfinansēt no citiem valsts un ārvalstu finanšu atbalsta instrumentiem;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projektā plānoto darbu sasaisti, sinerģiju un demarkāciju ar citu atbalsta instrumentu investīcijām dubultfinansējuma riska mazināšanai;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sedz projekta sadārdzinājumu no saviem līdzekļiem, ja projekta izmaksas pieaug;</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sasniegto rezultātu ilgtspēju vismaz piecus gadus pēc projekta pabeigšanas, ievērojot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noteiktos dokumentu uzglabāšanas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projekta īstenošanas laikā nekustamie īpašumi, kuri nepieciešami projekta īstenošanai, ir finansējuma saņēmēja, valsts vai pašvaldības īpašumā, patapinājumā, valdījumā vai ilgtermiņa nomā vismaz 10 gadus, un tiesībām uz konkrēto objektu vai īpašumu, izņemot patapinājumu, jābūt nostiprinātām  Zemesgrāmatā. Ja investīcijas ir veiktas ēkās un būvēs, nepalielinot apbūves laukumu, īpašumtiesībām vai citām tiesībām attiecībā uz zemi nav jābūt nostiprinātām Zemesgrāmatā;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iepirkumu, kas nepieciešams atbalstāmo darbību īstenošanai, var veikt kā sociāli atbildīgu iepirkumu. Pakalpojuma sniedzējus izvēlas saskaņā ar normatīvajiem aktiem publisko iepirkumu jomā, īstenojot atklātu, pārredzamu, nediskriminējošu un konkurenci nodrošinošu procedūru;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Nr. 2021/241</w:t>
      </w:r>
      <w:r w:rsidR="00000000" w:rsidRPr="00000000" w:rsidDel="00000000">
        <w:rPr>
          <w:rtl w:val="0"/>
        </w:rPr>
        <w:t xml:space="preserve"> 27. pantam uzkrāj datus par kopīgo rādītāju "Jaunu vai modernizētu veselības aprūpes iestāžu jauda";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atsevišķu projekta izmaksu, tai skaitā pievienotās vērtības nodokļa izmaksu, uzskaiti un nodalīšanu. Ja sākotnēji plānotais pievienotās vērtības nodokļa apmērs būs lielāks nekā faktiski nepieciešamais, nodrošina pārmaksātā pievienotās vērtības nodokļa atmaksāšanu.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Investīcijas ietvaros pirmās un otrās kārtas projektu īsteno saskaņā ar līgumu par projekta īstenošanu, bet ne ilgāk kā līdz 2026. gada 31. augustam, trešās kārtas projektu īsteno līdz 2026. gada 31. decembrim, ievērojot, ka: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un otrās kārtas finansējuma saņēmējs izdevumus var veikt līdz 2026. gada 30. jūnijam, trešās kārtas finansējuma saņēmējs izdevumus var veikt līdz 2026. gada 11. decembrim (izņēmuma gadījumos pirmās un otrās kārtas finansējuma saņēmējs, saskaņojot ar nozares ministriju un līgumslēdzēju, izdevumu veikšanas termiņu var pagarināt līdz 2026. gada 15. jūlijam):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izņēmuma gadījumiem šo noteikumu izpratnē uzskatāmi šādi apstākļi, ja tie apdraud projekta mērķu sasniegšanu:</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vai iepirkuma procedūru kavēšanās, kas radusies nepārvaramas varas vai trešo personu rīcības dēļ, tostarp piegādes ķēžu traucējumu, būvdarbu līgumu izpildes aizkavēšanās vai projektu saskaņošanas kavējumu dēļ;</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citi objektīvi un dokumentēti apstākļi, kas nav atkarīgi no finansējuma saņēmēja;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un otrās kārtas finansējuma saņēmējs noslēguma maksājumu pieprasījumu iesniedz līdz 2026. gada 15. jūlijam, trešās kārtas finansējuma saņēmējs – līdz 2026. gada 11. decembrim;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pirmās un otrās kārtas projekta noslēguma dokumentācijas pārbaudi un noslēguma maksājumu līgumslēdzējs veic līdz 2026. gada 31. augustam, trešās kārtas projekta noslēguma dokumentācijas pārbaudi un noslēguma maksājumu – līdz 2026. gada 31. 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Līgumslēdzējam ir tiesības vienpusēji atkāpties no noslēgtā līguma par projekta īstenošanu jebkurā no šādiem gadījumiem: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līgumu par projekta īstenošanu, tai skaitā netiek ievēroti projektā noteiktie termiņi vai ir iestājušies citi apstākļi, kas negatīvi ietekmē vai var ietekmēt rādītāju sasniegšanu;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ir sniedzis nepatiesu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kas paredzēti līgumā par projekta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(Svītrots ar MK 21.01.2025. noteikumiem Nr. 56)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Līgumslēdzēja pienākumi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Līgumslēdzējs pēc finansējuma saņēmēja pieprasījuma nodrošina finansējuma pieprasīšanu avansa maksājuma, starpposma maksājuma, noslēguma maksājuma un pievienotās vērtības nodokļa izmaksu segšanai, ja attiecināms, no valsts budžeta atbilstoši gadskārtējā valsts budžeta likumā noteikto apropriācijas izmaiņu veikšanu reglamentējošajiem normatīvajiem aktiem.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Līgumslēdzējs apstiprina projekta mērķa sasniegšanu, pamatojoties uz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minēto dokumentu kopumu.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Līgumslēdzējs izlases veidā veic šādas normatīvajos aktos par Atveseļošanas fonda plāna īstenošanas un uzraudzības kārtību noteiktās pārbaudes: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pārbaudes par interešu konflikta, krāpšanas un korupcijas, un dubultfinansējuma riska pazīmēm;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pārbaudes projektu īstenošanas vietās;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ieviešanas progresa un sasniegto rādītāju pārbaudes;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ticamības pārbaudes.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Grozījumi šo noteikumu 4.1.1.2.i. investīcijas nosaukumā, </w:t>
      </w:r>
      <w:r w:rsidR="00000000" w:rsidRPr="00000000" w:rsidDel="00000000">
        <w:rPr>
          <w:rtl w:val="0"/>
        </w:rPr>
        <w:t xml:space="preserve">1. </w:t>
      </w:r>
      <w:r w:rsidR="00000000" w:rsidRPr="00000000" w:rsidDel="00000000">
        <w:rPr>
          <w:rtl w:val="0"/>
        </w:rPr>
        <w:t xml:space="preserve">punkta</w:t>
      </w:r>
      <w:r w:rsidR="00000000" w:rsidRPr="00000000" w:rsidDel="00000000">
        <w:rPr>
          <w:rtl w:val="0"/>
        </w:rPr>
        <w:t xml:space="preserve"> ievaddaļā,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8.3. </w:t>
      </w:r>
      <w:r w:rsidR="00000000" w:rsidRPr="00000000" w:rsidDel="00000000">
        <w:rPr>
          <w:rtl w:val="0"/>
        </w:rPr>
        <w:t xml:space="preserve">apakšpunktā</w:t>
      </w:r>
      <w:r w:rsidR="00000000" w:rsidRPr="00000000" w:rsidDel="00000000">
        <w:rPr>
          <w:rtl w:val="0"/>
        </w:rPr>
        <w:t xml:space="preserve"> par izmaiņām investīcijas ietvaros sasniedzamajā rādītājā,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un </w:t>
      </w:r>
      <w:r w:rsidR="00000000" w:rsidRPr="00000000" w:rsidDel="00000000">
        <w:rPr>
          <w:rtl w:val="0"/>
        </w:rPr>
        <w:t xml:space="preserve">43.4. </w:t>
      </w:r>
      <w:r w:rsidR="00000000" w:rsidRPr="00000000" w:rsidDel="00000000">
        <w:rPr>
          <w:rtl w:val="0"/>
        </w:rPr>
        <w:t xml:space="preserve">apakšpunktā</w:t>
      </w:r>
      <w:r w:rsidR="00000000" w:rsidRPr="00000000" w:rsidDel="00000000">
        <w:rPr>
          <w:rtl w:val="0"/>
        </w:rPr>
        <w:t xml:space="preserve">,  kā arī </w:t>
      </w:r>
      <w:r w:rsidR="00000000" w:rsidRPr="00000000" w:rsidDel="00000000">
        <w:rPr>
          <w:rtl w:val="0"/>
        </w:rPr>
        <w:t xml:space="preserve">8.2. </w:t>
      </w:r>
      <w:r w:rsidR="00000000" w:rsidRPr="00000000" w:rsidDel="00000000">
        <w:rPr>
          <w:rtl w:val="0"/>
        </w:rPr>
        <w:t xml:space="preserve">apakšpunkta</w:t>
      </w:r>
      <w:r w:rsidR="00000000" w:rsidRPr="00000000" w:rsidDel="00000000">
        <w:rPr>
          <w:rtl w:val="0"/>
        </w:rPr>
        <w:t xml:space="preserve">, </w:t>
      </w:r>
      <w:r w:rsidR="00000000" w:rsidRPr="00000000" w:rsidDel="00000000">
        <w:rPr>
          <w:rtl w:val="0"/>
        </w:rPr>
        <w:t xml:space="preserve">21. </w:t>
      </w:r>
      <w:r w:rsidR="00000000" w:rsidRPr="00000000" w:rsidDel="00000000">
        <w:rPr>
          <w:rtl w:val="0"/>
        </w:rPr>
        <w:t xml:space="preserve">punkta</w:t>
      </w:r>
      <w:r w:rsidR="00000000" w:rsidRPr="00000000" w:rsidDel="00000000">
        <w:rPr>
          <w:rtl w:val="0"/>
        </w:rPr>
        <w:t xml:space="preserve">,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punkta</w:t>
      </w:r>
      <w:r w:rsidR="00000000" w:rsidRPr="00000000" w:rsidDel="00000000">
        <w:rPr>
          <w:rtl w:val="0"/>
        </w:rPr>
        <w:t xml:space="preserve">,  </w:t>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punkta</w:t>
      </w:r>
      <w:r w:rsidR="00000000" w:rsidRPr="00000000" w:rsidDel="00000000">
        <w:rPr>
          <w:rtl w:val="0"/>
        </w:rPr>
        <w:t xml:space="preserve"> </w:t>
      </w:r>
      <w:r w:rsidR="00000000" w:rsidRPr="00000000" w:rsidDel="00000000">
        <w:rPr>
          <w:rtl w:val="0"/>
        </w:rPr>
        <w:t xml:space="preserve">svītrošana stājas spēkā vienlaikus ar Eiropas Komisijas lēmumu par attiecīgajiem Atveseļošanas fonda plāna grozījumu priekšlikumiem. Veselības ministrija pēc tam, kad ir stājies spēkā Eiropas Komisijas lēmums par Atveseļošanas fonda plāna grozījumu priekšlikumiem, nosūta attiecīgu paziņojumu publicēšanai oficiālajā izdevumā "Latvijas Vēstnesis".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25-TA-2133</w:t>
    </w:r>
    <w:r>
      <w:br/>
    </w:r>
    <w:r w:rsidR="00000000" w:rsidRPr="00000000" w:rsidDel="00000000">
      <w:rPr>
        <w:rtl w:val="0"/>
      </w:rPr>
      <w:t xml:space="preserve">Izdrukāts 29.07.2026. 22.49 - 1.0.VK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25-TA-2133</w:t>
    </w:r>
    <w:r>
      <w:br/>
    </w:r>
    <w:r w:rsidR="00000000" w:rsidRPr="00000000" w:rsidDel="00000000">
      <w:rPr>
        <w:rtl w:val="0"/>
      </w:rPr>
      <w:t xml:space="preserve">Izdrukāts 29.07.2026. 22.49 - 1.0.VK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noteikumu_konsolidētā_versija_25-TA-2133.docx</dc:title>
</cp:coreProperties>
</file>

<file path=docProps/custom.xml><?xml version="1.0" encoding="utf-8"?>
<Properties xmlns="http://schemas.openxmlformats.org/officeDocument/2006/custom-properties" xmlns:vt="http://schemas.openxmlformats.org/officeDocument/2006/docPropsVTypes"/>
</file>