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specifiskais atbalsta mērķis) 5.1.1.5. pasākumu "Unikāla Eiropas mēroga kultūras mantojuma atjaunošana, lai veicinātu to piekļūstamību, attīstot kultūras pakalpojumus"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tiek veikti ieguldījumi pilsētu funkcionālajās teritorijās, kas noteiktas plānošanas reģionu attīstības programmās.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Kultūras ministrijas kā par kultūras jomas politiku atbildīgās nozares ministrijas saskaņotie plānošanas reģionu attīstības programmās paredzētie pasākuma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īstenošanu nodrošina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uzraudzības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mērķis ir saglabāt, aizsargāt un attīstīt unikālus valsts nozīmes kultūras pieminekļus, kas atrodas UNESCO Pasaules mantojuma sarakstā iekļautajā teritorijā Rīgas vēsturiskajā centrā, veicinot piekļūstamību objektiem un paplašinot objektu kā ilgtspējīgu resursu inovatīvu izmantošanu cilvēka dzīves kvalitātes uzlabošanā un vietējo iedzīvotāju kopienas stiprināšanā.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mērķa grupa ir iedzīvotāji, vietējie un ārvalstu tūristi, kultūras mantojuma objektu apmeklētāji un saistīto pakalpojumu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iznākuma rādītājs: noslēgto līgumu par projekta īstenošanu īpatsvars par ieguldījumiem kultūras un tūrisma objektos – 10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trīs;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apmeklētāji gadā – 827 000.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33 712 500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28 655 625 </w:t>
      </w:r>
      <w:r w:rsidR="00000000" w:rsidRPr="00000000" w:rsidDel="00000000">
        <w:rPr>
          <w:i w:val="1"/>
          <w:rtl w:val="0"/>
        </w:rPr>
        <w:t xml:space="preserve">euro</w:t>
      </w:r>
      <w:r w:rsidR="00000000" w:rsidRPr="00000000" w:rsidDel="00000000">
        <w:rPr>
          <w:rtl w:val="0"/>
        </w:rPr>
        <w:t xml:space="preserve"> un nacionālais finansējums – 5 056 875 </w:t>
      </w:r>
      <w:r w:rsidR="00000000" w:rsidRPr="00000000" w:rsidDel="00000000">
        <w:rPr>
          <w:i w:val="1"/>
          <w:rtl w:val="0"/>
        </w:rPr>
        <w:t xml:space="preserve">euro </w:t>
      </w:r>
      <w:r w:rsidR="00000000" w:rsidRPr="00000000" w:rsidDel="00000000">
        <w:rPr>
          <w:rtl w:val="0"/>
        </w:rPr>
        <w:t xml:space="preserve">(valsts budžeta līdzfinansējums – 4 174 522 </w:t>
      </w:r>
      <w:r w:rsidR="00000000" w:rsidRPr="00000000" w:rsidDel="00000000">
        <w:rPr>
          <w:i w:val="1"/>
          <w:rtl w:val="0"/>
        </w:rPr>
        <w:t xml:space="preserve">euro</w:t>
      </w:r>
      <w:r w:rsidR="00000000" w:rsidRPr="00000000" w:rsidDel="00000000">
        <w:rPr>
          <w:rtl w:val="0"/>
        </w:rPr>
        <w:t xml:space="preserve"> un pašvaldības līdzfinansējums –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atbalsta sniegšana specifiskā atbalsta ietvaros tam nav kvalificējama kā komercdarbības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un sadarbības partneris var saņemt publisko 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valsts akciju sabiedrībai "Valsts nekustamie īpašumi" vai pašvaldībai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kvalificējama kā komercdarbības atbalsts, valsts akciju sabiedrībai "Valsts nekustamie īpašumi" vai pašvaldībai publiskais finansējums nepārsniedz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atbalsta sniegšana specifiskā atbalsta ietvaros nav kvalificējama kā komercdarbības atbalsts, finansējuma saņēmēja un sadarbības partnera līdzfinansējums nav mazāks par 15 procentiem no projekta kopējām attiecināmajām izmaksām, ieskaitot valsts budžeta dotāciju atbilstoši normatīvajiem aktiem par valsts budžeta dotācijas piešķiršanu pašvaldībām līdzfinansēto projektu īstenošanai Eiropas Savienības fondu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sniegšana specifiskā atbalsta ietvaros ir kvalificējama kā komercdarbības atbalsts, finansējuma saņēmēja un sadarbības partnera privātā līdzfinansējuma apmēru nosaka, ņemot vērā, ka publiskais finansējums nepārsniedz aprēķināto finanšu iztrūkumu. Finansējuma saņēmējs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tiek īstenoti stratēģiski svarīgi projekti šādu kultūras mantojuma objektu atjaunošanai un publiskās ārtelpas attīstībai Rīgā: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Lielā ģilde (Amatu ielā 6, Rīgā);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zāle Arsenāls (Torņa ielā 1, Rīgā);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Vecrīgas publiskā ārtelpa.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minēto objektu atjaunošanai projekta finansējuma saņēmējam – valsts akciju sabiedrībai "Valsts nekustamie īpašumi" – pieejamais Eiropas Reģionālās attīstības fonda finansējums ir ne vairāk kā 23 655 625 </w:t>
      </w:r>
      <w:r w:rsidR="00000000" w:rsidRPr="00000000" w:rsidDel="00000000">
        <w:rPr>
          <w:i w:val="1"/>
          <w:rtl w:val="0"/>
        </w:rPr>
        <w:t xml:space="preserve">euro</w:t>
      </w:r>
      <w:r w:rsidR="00000000" w:rsidRPr="00000000" w:rsidDel="00000000">
        <w:rPr>
          <w:rtl w:val="0"/>
        </w:rPr>
        <w:t xml:space="preserve"> un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minētās Vecrīgas publiskās ārtelpas attīstībai projekta finansējuma saņēmējam – Rīgas valstspilsētas pašvaldībai – pieejamais Eiropas Reģionālās attīstības fonda finansējums ir ne vairāk kā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iestāde, ja tai ir pieejami valsts budžeta līdzekļi, pēc vienošanās par projekta īstenošanu noslēgšanas un rakstiska avansa pieprasījuma saņemšanas var piešķirt  avansu,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pasākuma ietvaros ir valsts akciju sabiedrība "Valsts nekustamie īpašumi" un Rīgas valstspilsētas pašvaldība, kuras īpašumā, turējumā, lietošanā vai valdījumā atrodas kultūras mantojuma objekts vai publiskā ārtelpa,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pasākuma ietvaros projekta īstenošanai var piesaistīt sadarbības partneri – valsts kapitālsabiedrību, pašvaldību, pašvaldības iestādi vai pašvaldības kapitālsabiedrību, kuras īpašumā, turējumā, lietošanā vai valdījumā atrodas kultūras mantojuma objekts vai publiskā ārtelpa,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sadarbības partnera vai projekta iesniedzēja pārvaldīšanā vai ja īpašuma tiesības uz īpašuma objektu ir spēkā bez to nostiprināšanas zemesgrāmatā).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atbalsts kvalificējams kā komercdarbības atbalsts, projekta iesniedzējs nevar pretendēt uz finansējumu un sadarbības partneris nevar tikt iesaistīts projekta īstenošanā,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statusam saskaņā ar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apstiprināta pašvaldības attīstības programma un projektā plānotās investīcijas sniedz ieguldījumu programmā noteikto rīcības virzienu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iesnieguma iesniegšanas dienā ir apstiprināta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objektu darbības stratēģija vai publiskās ārtelpas apraksts: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darbības stratēģija izstrādāta, ievērojot pilsētvides attīstības izaicinājumus un pašvaldības attīstības programmā noteiktās tūrisma attīstības prioritātes, objekta attīstībai plānojot piesaistīt dažādus finansējuma avotus;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darbības stratēģija pamato, kā objekta attīstība uzlabos kultūras objekta darbību nacionālas vai starptautiskas nozīmes kultūras pasākumā;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objektu darbības stratēģija pamato objekta attīstības sociālekonomiskos ieguvumus un paredz objekta uzturēšanu ilgtermiņā;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objekta darbības stratēģija vai publiskās ārtelpas apraksts pamato, kā tiks veicināta vietējo iedzīvotāju sociālā iekļaušana, izpildot vismaz vienu no šādiem nosacījumiem: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tiks pilnveidoti esošie pakalpojumi vai izveidoti jauni, integrējot projektos inovatīvus risinājumus, kas ļauj attīstīt kultūras satura digitālo piedāvājumu;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tiks iesaistītas vietējās iedzīvotāju kopienas, radot jaunu sociālo dinamiku;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tiks sekmēta vienlīdzīga piekļuve kultūras objektiem un publiskai ārtelpai, veicinot līdztiesību un kultūras norišu piekļūstamību neatkarīgi no personas dzīvesvietas, īpašām vajadzībām un sociālās atstumtības riska.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Pasākums tiek īstenots, ievērojot: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Jaunā Eiropas </w:t>
      </w:r>
      <w:r w:rsidR="00000000" w:rsidRPr="00000000" w:rsidDel="00000000">
        <w:rPr>
          <w:i w:val="1"/>
          <w:rtl w:val="0"/>
        </w:rPr>
        <w:t xml:space="preserve">Bauhaus</w:t>
      </w:r>
      <w:r w:rsidR="00000000" w:rsidRPr="00000000" w:rsidDel="00000000">
        <w:rPr>
          <w:rtl w:val="0"/>
        </w:rPr>
        <w:t xml:space="preserve"> principus: estētiku, ilgtspēju, iekļautību, tai skaitā iekļaujot publiskās ārtelpas attīstības risinājumus apkārtējā ainavā, nodrošinot dabā balstīto risinājumu un  universālā dizaina principu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kultūras pieminekļu un ievērojamu vietu padomes izstrādātos kvalitātes principus Eiropas Savienības finansētiem pārveidojumiem, kas var ietekmēt kultūras mantojumu.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pasākuma ietvaros plānotais atbalsts nepārklājas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rezultātu ilgtspēju vismaz piecus gadus pēc tam, kad sadarbības iestāde ir veikusi noslēguma maksājumu;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īstenošanas komunikācijas un vizuālās identitātes prasības saskaņā ar Eiropas Parlamenta un Padomes (ES) 2021. gada 24. jūnija Regulas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stratēģiski svarīgā projekta komunikācijas plānu, kas paredz nodrošināt vismaz viena plašāka mēroga publicitātes pasākumu mediju intereses un sabiedrības uzmanības piesaistīšanai, un iesniedz to informācijai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stratēģiski svarīga projekta komunikācijas aktivitātes īsteno sadarbībā ar atbildīgo iestādi un Eiropas Komisijas pārstāvniecību Latvijā.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11.2.1.</w:t>
      </w:r>
      <w:r w:rsidR="00000000" w:rsidRPr="00000000" w:rsidDel="00000000">
        <w:rPr>
          <w:rtl w:val="0"/>
        </w:rPr>
        <w:t xml:space="preserve"> apakšpunktā</w:t>
      </w:r>
      <w:r w:rsidR="00000000" w:rsidRPr="00000000" w:rsidDel="00000000">
        <w:rPr>
          <w:rtl w:val="0"/>
        </w:rPr>
        <w:t xml:space="preserve"> minētā iznākuma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minētā rezultāta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 objektu skaitu, kuros Eiropas Reģionālās attīstības fonda ieguldījumu rezultātā ir nodrošināta vides un informācijas piekļūstamība;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izvērtē iespēju īstenot sociāli atbildīgu un inovatīvu iepirkumu  un vides prasību integrāciju preču un pakalpojumu  iepirkumos (zaļais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specifiskā atbalsta mērķa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arhitektūras, arheoloģijas, vēstures, kā arī pilsētbūvniecības pieminekļu atjaunošana, konservācija, pārbūve vai restaurācija;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Vecrīgas publiskās ārtelpas attīstīšana;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pakalpojumu izveide, paplašinot kultūras mantojuma saturisko piedāvājumu;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ir attiecināmas no 2022. gada 2. novembra.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w:t>
      </w:r>
      <w:r w:rsidR="00000000" w:rsidRPr="00000000" w:rsidDel="00000000">
        <w:rPr>
          <w:rtl w:val="0"/>
        </w:rPr>
        <w:t xml:space="preserve"> apakšpunktā</w:t>
      </w:r>
      <w:r w:rsidR="00000000" w:rsidRPr="00000000" w:rsidDel="00000000">
        <w:rPr>
          <w:rtl w:val="0"/>
        </w:rPr>
        <w:t xml:space="preserve"> minētajām izmaksām, izņemot pakalpojuma līguma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kultūras mantojuma objektu saistītās ekspozīcijas (tai skaitā iekštelpu un ārtelpu ekspozīcijas) un tās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ekspertu izmaksas, kas tieši saistītas ar investīcijām infrastruktūrā, būvuzraudzības, autoruzraudzības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tai skaitā kultūras mantojuma objekta sasniedzamību un piekļūstamību nodrošinošās infrastruktūras (satiksmes pārvadi, ielas un ar tām saistītā infrastruktūra, gājēju ceļi, gājēju tilti, labiekārtoti laukumi ar segumu, kāpnes, apgaismojums), atjaunošana, konservācija, pārbūve vai restaurācija un ar to saistītās publiskās ārtelpas attīstība;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būves, tai skaitā kultūras mantojuma objekta sasniedzamību un piekļūstamību nodrošinošās infrastruktūras (satiksmes pārvadi, ielas un ar tām saistītā infrastruktūra, gājēju ceļi, gājēju tilti, labiekārtoti laukumi ar segumu, kāpnes, apgaismojums, ārtelpas elementi), būvniecība un ar to saistītās publiskās ārtelpas attīstība;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atjaunoto, konservēto, pārbūvēto, restaurēto vai uzbūvēto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kultūras mantojumu saistītās iekštelpu un ārtelpu ekspozīcijas un kultūras pakalpojuma izveides izmaksas, aprīkojuma iegādes un uzstādīšanas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651/2014 53.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stratēģiski svarīgā projekta komunikācijas plāna izstrādes izmaksas;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īstenošanai, kas nepieciešamas, lai nodrošinātu atbilstību vides un informācijas piekļūstamības prasībām,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zīmju valodas tulku, vieglās valodas tulkošanas, reāllaika transkripcijas un subtitru nodrošināšanas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ekspertu konsultāciju izmaksas par dzimumu līdztiesības, personu ar invaliditāti vienlīdzīgu iespēju, vecuma nediskriminācijas, etniskās un citas piederības pamattiesību jautājumiem.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2021/1060 64. panta 1.punkta "c" apakšpunkta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w:t>
      </w:r>
      <w:r w:rsidR="00000000" w:rsidRPr="00000000" w:rsidDel="00000000">
        <w:rPr>
          <w:rtl w:val="0"/>
        </w:rPr>
        <w:t xml:space="preserve">36.7.</w:t>
      </w:r>
      <w:r w:rsidR="00000000" w:rsidRPr="00000000" w:rsidDel="00000000">
        <w:rPr>
          <w:rtl w:val="0"/>
        </w:rPr>
        <w:t xml:space="preserve"> apakšpunktā</w:t>
      </w:r>
      <w:r w:rsidR="00000000" w:rsidRPr="00000000" w:rsidDel="00000000">
        <w:rPr>
          <w:rtl w:val="0"/>
        </w:rPr>
        <w:t xml:space="preserve"> minētās izmaksas, ja projekta iesniegumam sniegtais atbalsts ir uzskatāms par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atbalsta sniegšana pasākuma ietvaros ir kvalificējama kā komercdarbības atbalsts, finansējuma saņēmējs un sadarbības partneris privāto finansējumu nodrošina no tādiem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kultūras jomā sniegto pakalpojumu saņēmējiem vai  atbalstītā objekta apmeklētājiem gadā 85 procenti vai vairāk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šo noteikumu 43. punktā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Komercdarbības atbalstu finansējuma saņēmējam piešķir saskaņā ar regulu Nr. 651/2014, ja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"a", "b", "c", "d" un "e" apakšpunktā minētajiem mērķiem vai darbībām, papildus ir ievēroti visi šajā apakšpunktā minētie nosacījumi: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regulas Nr. 651/2014 53. panta 10. punktā minētajām nozarēm;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ievērots nosacījums, ka vismaz 80 procentu no infrastruktūras gada jaudas laika vai platības izteiksmē izmanto kultūras mērķim;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45.2.2.</w:t>
      </w:r>
      <w:r w:rsidR="00000000" w:rsidRPr="00000000" w:rsidDel="00000000">
        <w:rPr>
          <w:rtl w:val="0"/>
        </w:rPr>
        <w:t xml:space="preserve"> apakšpunkta</w:t>
      </w:r>
      <w:r w:rsidR="00000000" w:rsidRPr="00000000" w:rsidDel="00000000">
        <w:rPr>
          <w:rtl w:val="0"/>
        </w:rPr>
        <w:t xml:space="preserve"> nosacījums neattiecas uz kultūras mantojuma izmaksām, kas noteiktas regulas Nr. 651/2014 53. panta 4. punkta "c" apakšpunktā;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atbalsts netiek sniegts finansējuma saņēmējam, uz kuru attiecas līdzekļu atgūšanas rīkojums saskaņā ar iepriekšēju Eiropas Komisijas lēmumu, ar ko atbalsts tiek atzīts par nelikumīgu un nesaderīgu ar kopējo tirgu, atbilstoši regulas Nr. 651/2014 1. panta 4. punkta "a" apakšpunkta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43.1.</w:t>
      </w:r>
      <w:r w:rsidR="00000000" w:rsidRPr="00000000" w:rsidDel="00000000">
        <w:rPr>
          <w:rtl w:val="0"/>
        </w:rPr>
        <w:t xml:space="preserve"> apakšpunktā</w:t>
      </w:r>
      <w:r w:rsidR="00000000" w:rsidRPr="00000000" w:rsidDel="00000000">
        <w:rPr>
          <w:rtl w:val="0"/>
        </w:rPr>
        <w:t xml:space="preserve"> minētajā gadījumā ir pieļaujams veikt papildpakalpojumus,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 Šo noteikumu ietvaros pamatdarbības peļņas definīcija atbilst regulas Nr. 651/2014 2. panta 39.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uzraudzību visā projekta pārskata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ar komercdarbības atbalstu saistīta projekta dokumentāciju glabā visu projekta pārskata periodu, sākot no dienas, kad tam ir piešķirts individuālais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minētās izmaksu un ieguvumu analīzes pārrēķinu un sadarbības iestādei atmaksā starpību starp faktisko un plānoto peļņu no pamatdarbības.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23-TA-2900</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23-TA-2900</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noteikumu_konsolidētā_versija_23-TA-2900.docx</dc:title>
</cp:coreProperties>
</file>

<file path=docProps/custom.xml><?xml version="1.0" encoding="utf-8"?>
<Properties xmlns="http://schemas.openxmlformats.org/officeDocument/2006/custom-properties" xmlns:vt="http://schemas.openxmlformats.org/officeDocument/2006/docPropsVTypes"/>
</file>