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r>
        <w:br/>
      </w:r>
      <w:r w:rsidR="00000000" w:rsidRPr="00000000" w:rsidDel="00000000">
        <w:rPr>
          <w:rStyle w:val="paragraph"/>
          <w:i w:val="1"/>
          <w:rtl w:val="0"/>
        </w:rPr>
        <w:t xml:space="preserve">Eiropas Savienības struktūrfondu un Kohēzijas fonda 2014.–2020. gada plānošanas perioda vadības likuma 20. panta</w:t>
      </w:r>
      <w:r w:rsidR="00000000" w:rsidRPr="00000000" w:rsidDel="00000000">
        <w:rPr>
          <w:rStyle w:val="paragraph"/>
          <w:i w:val="1"/>
          <w:rtl w:val="0"/>
        </w:rPr>
        <w:t xml:space="preserve"> 14. punktu un </w:t>
      </w:r>
      <w:r>
        <w:br/>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16. jūnija noteikumos Nr. 383 "Noteikumi par garantijām saimnieciskās darbības veicējiem konkurētspējas uzlabošanai" (Latvijas Vēstnesis, 2020, 119., 248. nr.; 2022, 121. nr.; 2023, 49., 173. nr.; 2024, 110.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Eiropas Savienības kohēzijas politikas programmas 2021.–2027. gadam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Mazajiem vidējās kapitalizācijas un vidējās kapitalizācijas saimnieciskās darbības veicējiem ir pieejama garantija tikai 1.2.3.4.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Garantijas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vai kā atbalstu saskaņā ar Komisijas regulu  Nr. 651/2014."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Garantijas, kas šo noteikumu ietvaros tiek piešķirtas militāriem projektiem drošības un  aizsardzības jomā, nav kvalificējamas kā komercdarbības atbalsts, un tām nav jāpiemēro šajos noteikumos ietvertie Komisijas regulas Nr. 2023/2831 vai Komisijas regulas  Nr. 651/2014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atbalsts tiek piešķirts saskaņā ar šo noteikumu 5.</w:t>
      </w:r>
      <w:r w:rsidR="00000000" w:rsidRPr="00000000" w:rsidDel="00000000">
        <w:rPr>
          <w:vertAlign w:val="superscript"/>
          <w:rtl w:val="0"/>
        </w:rPr>
        <w:t xml:space="preserve">1</w:t>
      </w:r>
      <w:r w:rsidR="00000000" w:rsidRPr="00000000" w:rsidDel="00000000">
        <w:rPr>
          <w:rtl w:val="0"/>
        </w:rPr>
        <w:t xml:space="preserve"> punktu, attiecībā uz publisko līdzekļu piešķīrumu veic atbalsta uzskaites nodalīšanu, lai cita saimnieciskā darbība negūst labumu no publiskajiem līdzekļiem, kas piešķirti darbībām militārajam projektam."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Darbu sākums šo noteikumu izpratnē atbilst Komisijas regulas Nr. 651/2014 2. panta 23.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Saimnieciskās darbības veicējs, iesniedzot projekta pieteikumu sabiedrībā "Altum" atbalsta saņemšanai militāriem projektiem, iesniedz arī Aizsardzības ministrijas atzinumu par militārā projekta atbilstību drošības interesēm. Pēc atzinuma saņemšanas par militārā projekta atbilstību drošības interesēm, kas saistītas ar ieroču, munīcijas un militārā aprīkojuma ražošanu, saimnieciskās darbības veicējs to iesniedz sabiedrībā "Altum", kura garantijas pieteikumu vērtē kopā ar saņemto atzinumu."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Lai nodrošinātu šo noteikumu 5.</w:t>
      </w:r>
      <w:r w:rsidR="00000000" w:rsidRPr="00000000" w:rsidDel="00000000">
        <w:rPr>
          <w:vertAlign w:val="superscript"/>
          <w:rtl w:val="0"/>
        </w:rPr>
        <w:t xml:space="preserve">4</w:t>
      </w:r>
      <w:r w:rsidR="00000000" w:rsidRPr="00000000" w:rsidDel="00000000">
        <w:rPr>
          <w:rtl w:val="0"/>
        </w:rPr>
        <w:t xml:space="preserve"> punktā minētā atzinuma sniegšanu, Aizsardzības ministrija, sabiedrība "Altum" un Ekonomikas ministrija slēdz vienošanos."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Garantiju izsniegšanas kārtību, kompensāciju izmaksas un zaudējumu samazināšanas pasākumus nosaka saskaņā ar civiltiesiskajiem līgumiem, kas noslēgti starp sabiedrību "Altum" un kredītiestādi vai tās meitas sabiedrību, kura reģistrēta Eiropas Savienības vai Eiropas Ekonomikas zonas valstī, vai alternatīvā finanšu pakalpojuma sniedzēju, tai skaitā finanšu tehnoloģijās balstītu finanšu pakalpojumu sniedzēju, kurš reģistrēts Latvijā un ir tiesīgs sniegt finanšu pakalpojumus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līgums tiek slēgts ar alternatīvā finanšu pakalpojuma sniedzēju, tas atbilst vismaz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tas ir noziedzīgi iegūtu līdzekļu legalizācijas un terorisma un proliferācijas finansēšanas novēršanas likuma subjekts, izņemot licencētu kolektīvās finansēšanas pakalpojumu sniedzēju, ja noziedzīgi iegūtu līdzekļu legalizācijas un terorisma un proliferācijas finansēšanas novēršanas jomas prasības tiek noteiktas civiltiesiskajos līgumos, kas noslēgti starp sabiedrību "Altum" un finansētāju;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tas sniedz finanšu pakalpojumus attiecīgajā jomā ne mazāk kā trīs gadus, tai skaitā grupas ietvaros, ja mātes uzņēmumi darbojas tajā pašā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3.1.3. aktivitātei "Apmācības un konsultācijas komercdarbības un pašnodarbinātības uzsācējiem" – 935 586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otro reizi atmaksātais finansējums darbības programmas "Cilvēkresursi un nodarbinātība" 1.3.1.2. aktivitātei "Atbalsts pašnodarbinātības un uzņēmējdarbības uzsākšanai" – 482 840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starta un mikroaizdevumu programmas atmaksātais finansējums – līdz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Latvijas mazo un vidējo komersantu mikrokreditēšanas programmas atmaksu publiskais finansējums – 595 050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valsts budžeta finansējums – 4 500 000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7.8.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darbības programmas "Uzņēmējdarbība un inovācijas"  2.2.1.4.2. apakšaktivitātē "Mezanīna aizdevumi un nodrošinājuma garantijas saimnieciskās darbības veicēju konkurētspējas uzlabošanai" atmaksātais publiskais finansējums – 1 300 000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7.9.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13.1.1.1. pasākumam – ERAF finansējums 7 459 282 </w:t>
      </w:r>
      <w:r w:rsidR="00000000" w:rsidRPr="00000000" w:rsidDel="00000000">
        <w:rPr>
          <w:i w:val="1"/>
          <w:rtl w:val="0"/>
        </w:rPr>
        <w:t xml:space="preserve">euro </w:t>
      </w:r>
      <w:r w:rsidR="00000000" w:rsidRPr="00000000" w:rsidDel="00000000">
        <w:rPr>
          <w:rtl w:val="0"/>
        </w:rPr>
        <w:t xml:space="preserve">apmērā un valsts budžeta finansējums 1 540 719 </w:t>
      </w:r>
      <w:r w:rsidR="00000000" w:rsidRPr="00000000" w:rsidDel="00000000">
        <w:rPr>
          <w:i w:val="1"/>
          <w:rtl w:val="0"/>
        </w:rPr>
        <w:t xml:space="preserve">euro </w:t>
      </w:r>
      <w:r w:rsidR="00000000" w:rsidRPr="00000000" w:rsidDel="00000000">
        <w:rPr>
          <w:rtl w:val="0"/>
        </w:rPr>
        <w:t xml:space="preserve">apmērā ar iespēju to mainīt (palielināt vai samazināt), nepārsniedzot kopējo 13.1.1. specifiskajam atbalsta mērķim pieejamo ERAF finansējumu saskaņā ar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3.3.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7.10.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"7.10. 1.2.3.4. pasākumam – finansējums, ko sabiedrība "Altum" izsniedz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2  000 000  </w:t>
      </w:r>
      <w:r w:rsidR="00000000" w:rsidRPr="00000000" w:rsidDel="00000000">
        <w:rPr>
          <w:i w:val="1"/>
          <w:rtl w:val="0"/>
        </w:rPr>
        <w:t xml:space="preserve">euro </w:t>
      </w:r>
      <w:r w:rsidR="00000000" w:rsidRPr="00000000" w:rsidDel="00000000">
        <w:rPr>
          <w:rtl w:val="0"/>
        </w:rPr>
        <w:t xml:space="preserve">no šo noteikumu 7.9. apakšpunktā minētā atmaksātā Eiropas Savienības struktūrfondu un Kohēzijas fonda 2014.–2020. gada plānošanas perioda ERAF atmaksātā publiskā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8 300 000 </w:t>
      </w:r>
      <w:r w:rsidR="00000000" w:rsidRPr="00000000" w:rsidDel="00000000">
        <w:rPr>
          <w:i w:val="1"/>
          <w:rtl w:val="0"/>
        </w:rPr>
        <w:t xml:space="preserve">euro </w:t>
      </w:r>
      <w:r w:rsidR="00000000" w:rsidRPr="00000000" w:rsidDel="00000000">
        <w:rPr>
          <w:rtl w:val="0"/>
        </w:rPr>
        <w:t xml:space="preserve">no atmaksātā finansējuma saskaņā ar Ministru kabineta 2020. gada 19. marta noteikumiem Nr. 150 "Noteikumi par garantijām saimnieciskās darbības veicējiem, kuru darbību ietekmējusi Covid-19 izplatība";".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477 000 </w:t>
      </w:r>
      <w:r w:rsidR="00000000" w:rsidRPr="00000000" w:rsidDel="00000000">
        <w:rPr>
          <w:i w:val="1"/>
          <w:rtl w:val="0"/>
        </w:rPr>
        <w:t xml:space="preserve">euro </w:t>
      </w:r>
      <w:r w:rsidR="00000000" w:rsidRPr="00000000" w:rsidDel="00000000">
        <w:rPr>
          <w:rtl w:val="0"/>
        </w:rPr>
        <w:t xml:space="preserve">no atmaksātā publiskā finansējuma saskaņā ar Ministru kabineta 2017. gada 5. septembra noteikumiem Nr. 537 "Noteikumi par portfeļgarantijām sīko (mikro), mazo un vidējo saimnieciskās darbības veicēju – juridisko personu – kreditēšanas veicināšanai";".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7.14.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 2 000 000 </w:t>
      </w:r>
      <w:r w:rsidR="00000000" w:rsidRPr="00000000" w:rsidDel="00000000">
        <w:rPr>
          <w:i w:val="1"/>
          <w:rtl w:val="0"/>
        </w:rPr>
        <w:t xml:space="preserve">euro </w:t>
      </w:r>
      <w:r w:rsidR="00000000" w:rsidRPr="00000000" w:rsidDel="00000000">
        <w:rPr>
          <w:rtl w:val="0"/>
        </w:rPr>
        <w:t xml:space="preserve">no atmaksātā publiskā finansējuma saskaņā ar Ministru kabineta 2020. gada 19. marta noteikumiem Nr. 149 "Noteikumi par apgrozāmo līdzekļu aizdevumiem saimnieciskās darbības veicējiem, kuru darbību ietekmējusi Covid-19 izplatība"."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Ar šo noteikumu 7.9. apakšpunktā minēto finansējumu sasniedzami šādi iznākuma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to saimnieciskās darbības veicēju skaits, kuri saņem finansiālu atbalstu, kas nav granti, – 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privātais finansējums, kas piesaistīts publiskajam finansējumam, –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banku garantija (tai skaitā konkursa, avansa maksājuma, saistību izpildes nodrošinājuma, ieturējuma naudas, maksājuma izpildes vai garantijas laika garantija) banku garantiju limitiem vai kredītvēstule banku kredītvēstuļu limitiem."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Garantijas par šo noteikumu 8.4. apakšpunktā minēto finanšu pakalpojumu netiek sniegtas 1.2.3.4. 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ja kredītiestāde pagarina darbības termiņu iepriekš noslēgtiem šo noteikumu 8.2., 8.4. vai 8.5. apakšpunktā minētajiem finanšu pakalpojumu līgumiem un sabiedrība "Altum" garantiju piešķir jaunām saistībām, kas rodas pēc grozījumiem finanšu pakalpojumu līgumā, un atbalsts tiek sniegts saskaņā ar Komisijas regulu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ja tiek refinansēts sabiedrības "Altum" aizdevums vai jebkāds finanšu instruments, tostarp jebkāds ieguldījums, kas ticis veikts ar sabiedrības "Altum" atbalsta programmas finansējumu vai līdzfinansējumu, ievērojot visas piemērojamās komercdarbības atbalsta regulējuma normas. Aizdevuma refinansēšanai izmanto šo noteikumu 7.2.–7.8. un 7.11.–7.14.  apakšpunktā minēto finansējuma avotu, un atbalsts tiek sniegts saskaņā ar Komisijas regulu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Atbalstu saskaņā ar Komisijas regulas Nr. 651/2014 14. pantu var saņemt, ja aizdevums, par kuru tiek sniegta garantija, ir saistīts ar sākotnējiem ieguldījumiem projektā un ir ievērots atbalsta stimulējošās ietekmes nosacījums, tas ir, projektu nevar uzsākt, pirms iesniegts projekta pieteikums pie finansētāja, ievērojot šo noteikumu 12.</w:t>
      </w:r>
      <w:r w:rsidR="00000000" w:rsidRPr="00000000" w:rsidDel="00000000">
        <w:rPr>
          <w:vertAlign w:val="superscript"/>
          <w:rtl w:val="0"/>
        </w:rPr>
        <w:t xml:space="preserve">1</w:t>
      </w:r>
      <w:r w:rsidR="00000000" w:rsidRPr="00000000" w:rsidDel="00000000">
        <w:rPr>
          <w:rtl w:val="0"/>
        </w:rPr>
        <w:t xml:space="preserve">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Garantiju piešķir, ja saimnieciskā darbība ir ekonomiski dzīvotspējīga, tai skaitā izvērtējot saimnieciskās darbības veicēja biznesa idejas potenciālu un ilgtspēju, projekta īstenošanai nepieciešamo līdzfinansējumu un likviditāti, saimnieciskās darbības veicēja esošo un nākotnes finanšu situāciju, zināšanu un pieredzes atbilstību, kā arī analizējot identificētos uzņēmējdarbības riskus un citus faktorus saimnieciskās darbības veicēja aizdevuma kvalitātes noteikšanai. Piešķirot garantiju, atbalsts tiek sniegts saskaņā ar šo noteikumu IV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Vienam saimnieciskās darbības veicējam un ar to saistīto personu grupai atbilstoši Komisijas regulas Nr. 2023/2831 2. panta 2. punkta definīcijai, ja atbalsts tiek sniegts saskaņā ar šo regulu, vai saimnieciskās darbības veicējam un ar to saistīto personu grupai atbilstoši Komisijas regulas Nr. 651/2014 I pielikuma 3. panta 3. punkta definīcijai, ja atbalsts tiek sniegts saskaņā ar šo regulu, garantijas summa nepārsniedz: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sīkajam (mikro), mazajam un vidējam saimnieciskās darbības veicējam un ar to saistīto personu grupai – 25 000 000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 ja atbalsts tiek sniegts kā </w:t>
      </w:r>
      <w:r w:rsidR="00000000" w:rsidRPr="00000000" w:rsidDel="00000000">
        <w:rPr>
          <w:i w:val="1"/>
          <w:rtl w:val="0"/>
        </w:rPr>
        <w:t xml:space="preserve">de minimis</w:t>
      </w:r>
      <w:r w:rsidR="00000000" w:rsidRPr="00000000" w:rsidDel="00000000">
        <w:rPr>
          <w:rtl w:val="0"/>
        </w:rPr>
        <w:t xml:space="preserve"> atbalsts un bruto subsīdijas ekvivalents tiek aprēķināts saskaņā ar Komisijas regulas (ES) Nr. 2023/2831 4. panta 6. punkta "c" apakšpunktu,  un garantijas sākotnējais termiņš nepārsniedz 10 gadus;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ja saimnieciskās darbības veicējam un ar to saistīto personu grupai nav pieejams </w:t>
      </w:r>
      <w:r w:rsidR="00000000" w:rsidRPr="00000000" w:rsidDel="00000000">
        <w:rPr>
          <w:i w:val="1"/>
          <w:rtl w:val="0"/>
        </w:rPr>
        <w:t xml:space="preserve">de minimis</w:t>
      </w:r>
      <w:r w:rsidR="00000000" w:rsidRPr="00000000" w:rsidDel="00000000">
        <w:rPr>
          <w:rtl w:val="0"/>
        </w:rPr>
        <w:t xml:space="preserve"> limits vismaz atbalsta subsīdijas ekvivalenta apmērā un garantija tiek sniegta kā reģionālais atbalsts saskaņā ar Komisijas regulas Nr. 651/2014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lielajam saimnieciskās darbības veicējam: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12.2.1. Komisijas regulas Nr. 2023/2831 4. panta 6. punkta "b" apakšpunktā noteikto garantijas summu un termiņu, ja atbalsts tiek sniegts kā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atbalsts un bruto subsīdijas ekvivalents tiek aprēķināts saskaņā ar Komisijas regulas Nr. 2023/2831 4. panta 6. punkta "b"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12.2.2. 25  000 000 </w:t>
      </w:r>
      <w:r w:rsidR="00000000" w:rsidRPr="00000000" w:rsidDel="00000000">
        <w:rPr>
          <w:i w:val="1"/>
          <w:rtl w:val="0"/>
        </w:rPr>
        <w:t xml:space="preserve">euro</w:t>
      </w:r>
      <w:r w:rsidR="00000000" w:rsidRPr="00000000" w:rsidDel="00000000">
        <w:rPr>
          <w:rtl w:val="0"/>
        </w:rPr>
        <w:t xml:space="preserve">, ja garantija tiek sniegta saskaņā ar Komisijas regulas Nr. 651/2014 14.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atbalsts tiek sniegts saskaņā ar Komisijas regulas 651/2014 14. pantu, atbalstāmi ir ieguldījumi materiālajos aktīvos (saskaņā ar Komisijas regulas Nr. 651/2014 2. panta 29. punktu) un nemateriālajos aktīvos (saskaņā ar Komisijas regulas Nr. 651/2014 2. panta 30. punktu),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 saimnieciskās darbības veicējs ievēro nosacījumus atbilstoši Komisijas regulas Nr. 651/2014 14. panta 13.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 projekta attiecināmās izmaksas ir sākotnējie ieguldījumi saskaņā ar Komisijas regulas Nr. 651/2014 2. panta 49. punkta "a"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 aktīvi ir jauni, izņemot gadījumu, ja tos iegādājas MVU, un izņemot uzņēmējdarbības vietas iegādi;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ar materiālo aktīvu nomu saistītās izmaksas ir attiecināmas, ja ir ievēroti Komisijas regulas Nr. 651/2014 14. panta 6. punktā minētie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nemateriālie aktīvi atbilst Komisijas regulas Nr. 651/2014 14. panta 8. punktā minētajiem nosacījumiem. Lielajiem saimnieciskās darbības veicējiem nemateriālos aktīvus var finansēt aizdevums, par kuru sniegta garantija līdz 50 % no sākotnējo ieguldījumu kopējām attiecināmajām ieguldījumu izmaksām. Sīkajiem (mikro), mazajiem vai vidējiem saimnieciskās darbības veicējiem nemateriālos aktīvus var finansēt 100 %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 atbalstam ir stimulējoša ietekme, ko apliecina saimnieciskās darbības veicēja iesniegtā informācija atbilstoši Komisijas regulas Nr. 651/2014 6. panta 2. punktā minētajām pazīmēm un informācijai. Ja projektam piesaista citu publisko finansējumu, darbu ar projektu var uzsākt tad, kad visās iestādēs, kurās pretendē uz atbalstu, ir iesniegts pieteikums un ir pieņemts lēmums par atbalsta piešķiršanu vai noslēgts līgums, ja atbalstu nepiešķir ar lēmumu. Ja projekta īstenošana ir uzsākta pirms garantijas pieteikuma iesniegšanas, to noraida;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7. sākotnējie ieguldījumi pēc projekta pabeigšanas paliek Latvijā attiecīgajā atbalsta intensitātes NUTS 3. līmeņa reģionā (atbilstoši 2021. gada datiem), kurā tiek īstenots atbalstāmais projekts, vai paliek Latvijā jebkurā reģionā vismaz piecus gadus lielajiem saimnieciskās darbības veicējiem vai trīs gadus sīkajiem (mikro), mazajiem vai vidējiem saimnieciskās darbības veicējiem atbilstoši Komisijas regulas Nr. 651/2014 14. panta 5.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8. saimnieciskās darbības veicējs ievēro nosacījumus atbilstoši Komisijas regulas Nr. 651/2014 14. panta 7.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9. saimnieciskās darbības veicējs, piesakoties atbalstam, iesniedz sabiedrībā "Altum" parakstītu apliecinājumu, ka tas nav veicis un neveiks Komisijas regulas Nr. 651/2014 14. panta 16. punktā norādītās darbības, kuras definētas Komisijas regulas Nr. 651/2014 2. panta 61.a punktā, – ja atbalstu sniedz kā reģionālo atbalstu saskaņā ar Komisijas regulas Nr. 651/2014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10. projekts nav uzsākts atbilstoši šo noteikumu 5.</w:t>
      </w:r>
      <w:r w:rsidR="00000000" w:rsidRPr="00000000" w:rsidDel="00000000">
        <w:rPr>
          <w:vertAlign w:val="superscript"/>
          <w:rtl w:val="0"/>
        </w:rPr>
        <w:t xml:space="preserve">3</w:t>
      </w:r>
      <w:r w:rsidR="00000000" w:rsidRPr="00000000" w:rsidDel="00000000">
        <w:rPr>
          <w:rtl w:val="0"/>
        </w:rPr>
        <w:t xml:space="preserve"> punktā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11. saimnieciskās darbības veicējs, tai skaitā vērtējot saistītās grupas līmenī, nav uzskatāms par grūtībās nonākušu uzņēmumu saskaņā ar Komisijas regulas Nr. 651/2014 2. panta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Atbalstam, ko sniedz saskaņā ar Komisijas regulu 651/2014, maksimāli pieļaujamā atbalsta intensitāte no projekta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 Rīgas kopējās statistiski teritoriālo vienību klasifikācijas (turpmāk – NUTS) 3. līmeņa reģionā (atbilstoši 2021. gada datiem) – 30 % lielajiem saimnieciskās darbības veicējiem, 40 % vidējiem saimnieciskās darbības veicējiem un 50 % sīkajiem (mikro) vai mazajiem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2. Kurzemes, Zemgales, Vidzemes un Latgales NUTS 3. līmeņa reģionā (atbilstoši 2021. gada datiem) – 50 % lielajiem saimnieciskās darbības veicējiem, 60 % vidējiem saimnieciskās darbības veicējiem un 70 % sīkajiem (mikro) vai mazajiem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3. administratīvajām teritorijām Pierīgas NUTS 3. līmeņa reģionā (atbilstoši 2021. gada datiem), kā arī Limbažu novadā, Ogres novadā, Saulkrastu novadā un Tukuma novadā – 30 % lielajiem saimnieciskās darbības veicējiem, 40 % vidējiem saimnieciskās darbības veicējiem un 50 % sīkajiem (mikro) vai mazajiem saimnieciskās darbības veicējiem."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Lielajam saimnieciskās darbības veicējam un šo noteikumu 4.</w:t>
      </w:r>
      <w:r w:rsidR="00000000" w:rsidRPr="00000000" w:rsidDel="00000000">
        <w:rPr>
          <w:vertAlign w:val="superscript"/>
          <w:rtl w:val="0"/>
        </w:rPr>
        <w:t xml:space="preserve">1</w:t>
      </w:r>
      <w:r w:rsidR="00000000" w:rsidRPr="00000000" w:rsidDel="00000000">
        <w:rPr>
          <w:rtl w:val="0"/>
        </w:rPr>
        <w:t xml:space="preserve"> punktā minētajiem saimnieciskās darbības veicējiem piemēro šo noteikumu 12.2.1. vai 12.2.2. apakšpunkta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Iepriekš izsniegtas garantijas termiņu var pagarināt, kopējam garantijas termiņam nepārsniedzot 15 gadus, ja subsīdijas ekvivalents tiek aprēķināts saskaņā ar Komisijas regulas Nr. 2023/2831 4. panta 6. punkta "c" apakšpunktu vai,   ievērojot 4. panta 6. punkta "b"  apakšpunktā minētos termiņus, ja bruto subsīdijas ekvivalents tiek aprēķināts saskaņā ar Komisijas regulas Nr. 2023/2831 4. panta 6. punkta "b" apakšpunktu un kredītiestāde ir iesniegusi sabiedrībā "Altum" garantijas pieteikumu termiņa pagarinājumam, kā arī saimnieciskās darbības veicēja aizpildītu apliecinājumu kredīta garantijai (sabiedrības "Altum" veidlapa), bet sabiedrība "Altum" ir izvērtējusi saimnieciskās darbības veicēja finansiālo stāvokli un nodrošinājuma pietiekamību. Ja tiek pagarināts iepriekš izsniegtas sabiedrības "Altum" garantijas termiņš, sabiedrība "Altum" no jauna izvērtē un pārbauda </w:t>
      </w:r>
      <w:r w:rsidR="00000000" w:rsidRPr="00000000" w:rsidDel="00000000">
        <w:rPr>
          <w:i w:val="1"/>
          <w:rtl w:val="0"/>
        </w:rPr>
        <w:t xml:space="preserve">de minimis</w:t>
      </w:r>
      <w:r w:rsidR="00000000" w:rsidRPr="00000000" w:rsidDel="00000000">
        <w:rPr>
          <w:rtl w:val="0"/>
        </w:rPr>
        <w:t xml:space="preserve"> atbalsta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Iepriekš izsniegtas garantijas termiņu, kas izsniegta saskaņā ar Komisijas regulas Nr. 651/2014 14. pantu, nevar pagarināt, un kopējais garantijas termiņš nepārsniedz 15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ieroču un munīcijas tirdzniecībai (Saimniecisko darbību statistiskās klasifikācijas Eiropas Kopienā 2.1. redakcijas (turpmāk – NACE 2.1. red.) klase 47.63  "Sporta aprīkojuma mazumtirdzniecība"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tabakas izstrādājumu ražošanai un tirdzniecībai (NACE 2.1. red. 12. nodaļa "Tabakas izstrādājumu ražošana", klase 46.35 "Tabakas izstrādājumu vairumtirdzniecība", klase 47.26 "Tabakas izstrādājumu mazumtirdzniecība"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16.4.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alkohola tirdzniecībai (NACE 2.1. red. klase 46.34 "Dzērienu vairumtirdzniecība", klase 47.25 "Dzērienu mazumtirdzniecība"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16.5.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azartspēlēm un derībām (NACE 2.1.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16.6.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finanšu un apdrošināšanas darbībai (NACE 2.1. red. L sadaļa "Finanšu un apdrošināšanas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16.7.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operācijām ar nekustamo īpašumu (NACE 2.1. red. M sadaļas "Operācijas ar nekustamo īpašumu" grupa 68.1 "Sava nekustamā īpašuma pirkšana un pārdošana",  klase 68.31 "Starpniecība darbībā ar nekustamo īpašumu" un klase 68.32 "Citas operācijas ar nekustamo īpašumu uz līguma pamata vai par atlīdzību"), izņemot, ja saimnieciskās darbības veicējs nekustamo īpašumu (būvi), kura galvenais lietošanas veids atbilstoši normatīvajam regulējumam par būvju klasifikāciju ir triju vai vairāku dzīvokļu māja, būvē, atjauno vai pārbūvē ārpus Jūrmalas valstspilsētas, Rīgas valstspilsētas un Rīgas valstspilsētai piegulošo novadu (Mārupes novads, Olaines novads, Ķekavas novads, Salaspils novads, Ropažu novads, Ādažu novads) administratīvās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16.10.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"16.10. kapitālsabiedrību kapitāla daļu iegādei, ja šīs darbības tiek finansētas 1.2.3.4.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Papildus šo noteikumu 16. punkta nosacījumiem 1.2.3.4. pasākuma ietvaros garantiju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 nozarēs, kas noteiktas Eiropas Parlamenta un Padomes 2021. gada 24. jūnija Regulas (ES) Nr. 2021/1058 par Eiropas Reģionālās attīstības fondu un Kohēzijas fondu 7. panta 1.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zemes iegādei, ja summa pārsniedz 10 % no garantētās finanšu pakalpojuma summas vai attiecībā uz pamestām teritorijām un bijušajām rūpniecības teritorijām, kurās ir ēkas, līdz 15 % no garantētās finanšu pakalpojuma summas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"b"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Eiropas Savienības fondu projektu līdzfinansēšanai, kā arī priekšfinansēšanai saskaņā ar regulas Nr.  2021/1060 58. panta 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 darbībām, kuras uzskatāmas par faktiski pabeigtām vai pilnībā īstenotām, pirms ir iesniegts pieteikums atbalsta programmas finansējuma saņemšanai, ievērojot regulas Nr.  2021/1060 63. panta 6.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 esošu vai jaunu saistību dzēšanai, tai skaitā parāda procentiem saskaņā ar regulas Nr.  2021/1060 64. panta 1. punkta "a"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garantija tiek piešķirta saskaņā ar Komisijas regulas 651/2014 14. pantu, garantiju nepiešķir šādām darbībām un nozarēm: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 Komisijas regulas Nr. 651/2014 1. panta 2. punktā noteiktajām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 Komisijas regulas Nr.  651/2014 1. panta 3. punktā noteiktajām nozarēm atbilstoši Komisijas regulas Nr.  651/2014 2. panta 8., 9., 10. un 11. punktā noteiktajām definīcijām;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 Komisijas regulas Nr. 651/2014 13. panta "a" un "b" punktā noteiktajām nozarēm: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3.1. Komisijas regulas Nr. 651/2014 13. panta "a" punktā noteiktajām nozarēm atbilstoši Komisijas regulas Nr.  651/2014 2. panta 13., 43. un 43.a punktā noteiktajām definīcijām;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3.2. Komisijas regulas Nr. 651/2014 13. panta "b" punktā noteiktajām nozarēm atbilstoši Komisijas regulas Nr.  651/2014 2. panta 45. un 130. punktā noteiktajām definīcijām un platjoslas tīkla attīstīšanai."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Ja garantija tiek piešķirta saskaņā ar Komisijas regulas 651/2014 14. pantu un uz saimnieciskās darbības veicēju un ar to saistītu personu grupu saskaņā ar iepriekšēju Komisijas lēmumu atbilstoši Komisijas regulas Nr. 651/2014 I pielikuma 3. panta 3. punkta definīcijai attiecas šīs regulas 1. panta 4. punktā minētais līdzekļu atgūšanas rīkojums, atbalsts, kuru piešķīrusi tā pati dalībvalsts, atzīts par nelikumīgu un nesaderīgu ar kopējo tirgu."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18.1.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ja atbalsts tiek piešķirts kā </w:t>
      </w:r>
      <w:r w:rsidR="00000000" w:rsidRPr="00000000" w:rsidDel="00000000">
        <w:rPr>
          <w:i w:val="1"/>
          <w:rtl w:val="0"/>
        </w:rPr>
        <w:t xml:space="preserve">de minimis</w:t>
      </w:r>
      <w:r w:rsidR="00000000" w:rsidRPr="00000000" w:rsidDel="00000000">
        <w:rPr>
          <w:rtl w:val="0"/>
        </w:rPr>
        <w:t xml:space="preserve"> atbalsts, bet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2.1. red. grupa "Ceļojumu biroju, tūrisma operatoru un citi rezervēšanas pakalpojumi un ar tiem saistītas darbības", garantijas prēmiju, kas aprēķināta saskaņā ar šo noteikumu 19. punktu un paredzēta šo noteikumu 8.5. apakšpunktā minēto finanšu pakalpojumu garantēšanai, var samazināt, bet ne vairāk kā 90 %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Atbalsta sniedzējs izvērtē saimnieciskās darbības veicēju atbilstoši Komisijas regulas Nr. 2023/2831 vai Komisijas regulas Nr. 651/2014 nosacījumiem uz atbalsta piešķiršanas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Subsīdijas ekvivalentu lielajam saimnieciskās darbības veicējam un mazai vidējās kapitalizācijas un vidējās kapitalizācijas sabiedrībai aprēķina, piemērojot Komisijas regulas Nr. 2023/2831 4. panta 6. punkta "b" apakšpunkta nosacījumus vai izmantojot metodiku, kas saskaņota ar Eiropas Komisiju atbilstoši Komisijas regulas Nr. 2023/2831 4. panta 6. punkta "d" apakšpunkta  "i" apakšpunktam, ja atbalsts tiek sniegts kā </w:t>
      </w:r>
      <w:r w:rsidR="00000000" w:rsidRPr="00000000" w:rsidDel="00000000">
        <w:rPr>
          <w:i w:val="1"/>
          <w:rtl w:val="0"/>
        </w:rPr>
        <w:t xml:space="preserve">de minimis </w:t>
      </w:r>
      <w:r w:rsidR="00000000" w:rsidRPr="00000000" w:rsidDel="00000000">
        <w:rPr>
          <w:rtl w:val="0"/>
        </w:rPr>
        <w:t xml:space="preserve">atbalsts. Ja atbalsts tiek sniegts saskaņā ar Komisijas regulu 651/2014, subsīdijas ekvivalentu aprēķina, izmantojot metodiku, kas saskaņota ar Eiropas Komisiju atbilstoši Komisijas regulas 651/2014 5. panta "c" apakšpunkta   "ii"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Atbalsts saskaņā ar Komisijas regulu Nr. 2023/2831 vai Komisijas regulu Nr. 651/2014  saimnieciskās darbības veicējam tiek piešķirts ar dienu, kad pieņemts lēmums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Piesakoties </w:t>
      </w:r>
      <w:r w:rsidR="00000000" w:rsidRPr="00000000" w:rsidDel="00000000">
        <w:rPr>
          <w:i w:val="1"/>
          <w:rtl w:val="0"/>
        </w:rPr>
        <w:t xml:space="preserve">de minimis</w:t>
      </w:r>
      <w:r w:rsidR="00000000" w:rsidRPr="00000000" w:rsidDel="00000000">
        <w:rPr>
          <w:rtl w:val="0"/>
        </w:rPr>
        <w:t xml:space="preserve"> atbalstam, saimnieciskās darbības veicējs sniedz informāciju par iepriekš saņemto </w:t>
      </w:r>
      <w:r w:rsidR="00000000" w:rsidRPr="00000000" w:rsidDel="00000000">
        <w:rPr>
          <w:i w:val="1"/>
          <w:rtl w:val="0"/>
        </w:rPr>
        <w:t xml:space="preserve">de minimis </w:t>
      </w:r>
      <w:r w:rsidR="00000000" w:rsidRPr="00000000" w:rsidDel="00000000">
        <w:rPr>
          <w:rtl w:val="0"/>
        </w:rPr>
        <w:t xml:space="preserve">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ja saimnieciskās darbības veicēji ir apvienoti, ņem vērā visu katram apvienotajam saimnieciskās darbības veicējam iepriekš piešķirto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26.2.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ja saimnieciskās darbības veicējs ir sadalīts, piešķirto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piešķirtā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ja minētā attiecināšana nav iespējama, saņemto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Sabiedrība "Altum" un atbalsta saņēmējs ievēro Komisijas regulas Nr. 2023/2831 6. panta 3. un 7. punktā vai Komisijas regulas Nr. 651/2014 12. pantā minētos nosacījumus un glabā attiecīgo dokumentāciju 10 gadus no dienas, kad atbilstoši šiem noteikumiem piešķirts pēdējais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ir pārkāptas Komisijas regulas Nr. 2023/2831  vai Komisijas regulas 651/2014 prasības, atbalsta saņēmējam ir pienākums atmaksāt sabiedrībai "Altum"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Ievērojot Komisijas regulas Nr. 2023/2831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Komisijas regulas Nr. 2023/2831 3. panta 2. punktā noteiktajam robežlielumam, kā arī drīkst apvienot ar citu valsts atbalstu attiecībā uz vienām un tām pašām attiecināmajām izmaksām vai citu valsts atbalstu, tai skaitā tam pašam riska finansējuma pasākumam, ja pēc šīs apvienošanas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atbalstu par tām pašām attiecināmajām izmaksām, norādot atbalsta piešķiršanas datumu, atbalsta sniedzēja nosaukumu, atbalsta pasākumu, plānoto vai piešķirto atbalsta summu un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Atbalstu, kas piešķirts kā reģionālais atbalsts saskaņā ar Komisijas regulas Nr. 651/2014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w:t>
      </w:r>
      <w:r w:rsidR="00000000" w:rsidRPr="00000000" w:rsidDel="00000000">
        <w:rPr>
          <w:i w:val="1"/>
          <w:rtl w:val="0"/>
        </w:rPr>
        <w:t xml:space="preserve">ad-hoc</w:t>
      </w:r>
      <w:r w:rsidR="00000000" w:rsidRPr="00000000" w:rsidDel="00000000">
        <w:rPr>
          <w:rtl w:val="0"/>
        </w:rPr>
        <w:t xml:space="preserve"> atbalsta projektā vai Eiropas Komisijas lēmumā;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 var apvienot ar šīs vai citas atbalsta programmas vai </w:t>
      </w:r>
      <w:r w:rsidR="00000000" w:rsidRPr="00000000" w:rsidDel="00000000">
        <w:rPr>
          <w:i w:val="1"/>
          <w:rtl w:val="0"/>
        </w:rPr>
        <w:t xml:space="preserve">ad-hoc</w:t>
      </w:r>
      <w:r w:rsidR="00000000" w:rsidRPr="00000000" w:rsidDel="00000000">
        <w:rPr>
          <w:rtl w:val="0"/>
        </w:rPr>
        <w:t xml:space="preserve">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šīs vai citas atbalsta programmas vai </w:t>
      </w:r>
      <w:r w:rsidR="00000000" w:rsidRPr="00000000" w:rsidDel="00000000">
        <w:rPr>
          <w:i w:val="1"/>
          <w:rtl w:val="0"/>
        </w:rPr>
        <w:t xml:space="preserve">ad-hoc</w:t>
      </w:r>
      <w:r w:rsidR="00000000" w:rsidRPr="00000000" w:rsidDel="00000000">
        <w:rPr>
          <w:rtl w:val="0"/>
        </w:rPr>
        <w:t xml:space="preserve"> atbalsta projekta ietvaros piešķirto finansējumu nepārsniedz maksimāli pieļaujamo reģionālā finansējuma intensitāti, kas noteikta šo noteikumu 12.2.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 31.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darbojas šo noteikumu 16.1. apakšpunktā minētajās neatbalstāmajās nozarēs, atbalstu drīkst piešķirt tikai tad, ja atbalsta pretendents nodrošina nozaru darbību vai uzskaites nodalīšanu, lai saskaņā ar Komisijas regulas Nr. 2023/2831 1. panta 2. punktu vai  Komisijas regulas Nr. 651/2014 1. panta 2. un 3. punktu darbības izslēgtajās nozarēs negūst labumu no atbalsta, ko piešķir saskaņā ar Komisijas regulu Nr. 2023/2831 vai Komisijas regulu Nr. 651/2014. Ja saimnieciskās darbības veicējs vienlaikus darbojas vienā vai vairākās nozarēs, kas minētas šo noteikumu 16.2., 16.3., 16.4., 16.5., 16.6., 16.7., 16.10. vai 16.11. apakšpunktā,  atbalstu drīkst piešķirt tikai tad, ja saimnieciskās darbības veicējs nodrošina šo nozaru darbību vai uzskaites nodalīšanu."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Ja atbalstu sniedz kā reģionālo atbalstu saskaņā ar Komisijas regulas Nr. 651/2014 14. pantu, saimnieciskās darbības veicējs atbilstoši Komisijas regulas Nr. 651/2014 14. panta 14. punktam nodrošina līdzfinansējumu vismaz 25 %  apmērā no projekta attiecināmajām izmaksām, izmantojot pašu līdzekļus vai ārējo finansējumu, tai skaitā cita finansētāja izsniegtu kredītu vai finanšu līzingu. Par šo līdzfinansējumu nav saņemts nekāds publiskais atbalsts, tai skaitā</w:t>
      </w:r>
      <w:r w:rsidR="00000000" w:rsidRPr="00000000" w:rsidDel="00000000">
        <w:rPr>
          <w:i w:val="1"/>
          <w:rtl w:val="0"/>
        </w:rPr>
        <w:t xml:space="preserve"> de minimis</w:t>
      </w:r>
      <w:r w:rsidR="00000000" w:rsidRPr="00000000" w:rsidDel="00000000">
        <w:rPr>
          <w:rtl w:val="0"/>
        </w:rPr>
        <w:t xml:space="preserve">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Sabiedrība "Altum" informāciju par atbalstu, kas izsniegts kā reģionālais atbalsts saskaņā ar Komisijas regulas Nr. 651/2014 14. pantu, publicē atbilstoši Komisijas regulas Nr. 651/2014 9. panta 1. un 4. punktā noteiktajām publicitātes pasākumu prasībām un normatīvajiem aktiem par kārtību, kādā publicē informāciju par sniegto valsts atbalstu un piešķir un anulē elektroniskās sistēmas lietošanas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Izteikt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1.2.3.4. pasākuma ietvaros sabiedrības "Altum" pārvaldības izmaksas nosaka atbilstoši normatīvajam aktam,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Pārvaldības izdevumi par garantijām, kuras izsniegtas saskaņā ar šo noteikumu 7.2.–7.8. un 7.11.–7.14. apakšpunktu, tiek iekļauti klientu maksājumos, t. i., prēmijās un komisijas maksās."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Sabiedrības "Altum" 3.1.1.1. pasākumā sagaidāmie zaudējumi, kas noteikti saskaņā ar Attīstības finanšu institūcijas likuma 12. panta trešo daļu, tiek finansēti no šo noteikumu 7.1. apakšpunktā minētā finansējuma, 1.2.3.4 pasākumā sagaidāmie zaudējumi – no šo noteikumu 7.10. apakšpunktā minētā finansējuma, bet sagaidāmie zaudējumi par pārējām saimnieciskās darbības veicēju garantijām – no šo noteikumu 7.2.–7.8. un  7.11.–7.14. apakšpunktā minētā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Lēmumu par atbalsta piešķiršanu atbilstoši šo noteikumu 22. punktam var pieņemt: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līdz Komisijas regulas Nr. 2023/2831 7. panta 3. punktā un 8. pantā noteiktajam termiņam;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līdz Komisijas regulas Nr. 651/2014  darbības beigām saskaņā ar šīs regulas 59. pantu un saskaņā ar Komisijas regulas Nr. 651/2014 58. panta 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Garantijas 1.2.3.4. pasākumam piešķir, kad finansējums 3.1.1.1. un 13.1.1.1. pasākumam saimnieciskās darbības veicējiem ir piešķirts pilnā apmērā vai jaunas garantijas nevar piešķirt atbilstoši 3.1.1.1. un 13.1.1.1. pasākuma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Papildināt ar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Garantijas saskaņā ar Komisijas regulas 651/2014 14. pantu un Komisijas regulas Nr. 2023/2831 4. panta 6. punkta "d" apakšpunkta  "i" apakšpunktu piešķir no brīža, kad Eiropas komisija ir saskaņojusi noteikumu 21. punktā minēto metodiku atbilstoši Komisijas regulas Nr. 2023/2831 4. panta 6. punkta "d" apakšpunkta "i" apakšpunktam vai Komisijas regulas 651/2014 5. panta "c" apakšpunkta "ii" apakšpunktam."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25-TA-400</w:t>
    </w:r>
    <w:r>
      <w:br/>
    </w:r>
    <w:r w:rsidR="00000000" w:rsidRPr="00000000" w:rsidDel="00000000">
      <w:rPr>
        <w:rtl w:val="0"/>
      </w:rPr>
      <w:t xml:space="preserve">Izdrukāts 29.07.2026. 23.55 - 1.0.VK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25-TA-400</w:t>
    </w:r>
    <w:r>
      <w:br/>
    </w:r>
    <w:r w:rsidR="00000000" w:rsidRPr="00000000" w:rsidDel="00000000">
      <w:rPr>
        <w:rtl w:val="0"/>
      </w:rPr>
      <w:t xml:space="preserve">Izdrukāts 29.07.2026. 23.55 - 1.0.VK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noteikumu_(grozījumu)_projekts_25-TA-400.docx</dc:title>
</cp:coreProperties>
</file>

<file path=docProps/custom.xml><?xml version="1.0" encoding="utf-8"?>
<Properties xmlns="http://schemas.openxmlformats.org/officeDocument/2006/custom-properties" xmlns:vt="http://schemas.openxmlformats.org/officeDocument/2006/docPropsVTypes"/>
</file>