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novembrī (prot. Nr. 47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prioritārā pasākuma finansējuma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finansējuma pārdali Finanšu ministrijas budžeta programmas 33.00.00 "Valsts ieņēmumu un muitas politikas nodrošināšana" ietvaros no prioritārā pasākuma "Valsts ieņēmumu dienesta IT sistēmu pielāgošana un komunikācijas kampaņa vispārējas deklarēšanas nodrošināšanai" 413 995 </w:t>
      </w:r>
      <w:r w:rsidR="00000000" w:rsidRPr="00000000" w:rsidDel="00000000">
        <w:rPr>
          <w:i w:val="1"/>
          <w:rtl w:val="0"/>
        </w:rPr>
        <w:t xml:space="preserve">euro </w:t>
      </w:r>
      <w:r w:rsidR="00000000" w:rsidRPr="00000000" w:rsidDel="00000000">
        <w:rPr>
          <w:rtl w:val="0"/>
        </w:rPr>
        <w:t xml:space="preserve">apmērā Valsts ieņēmumu dienesta informācijas sistēmu pielāgošanai saistībā ar nodokļu politikas pārskatīšanu 2025.–2027.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24-TA-2651</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24-TA-2651</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rīkojuma_projekts_24-TA-2651.docx</dc:title>
</cp:coreProperties>
</file>

<file path=docProps/custom.xml><?xml version="1.0" encoding="utf-8"?>
<Properties xmlns="http://schemas.openxmlformats.org/officeDocument/2006/custom-properties" xmlns:vt="http://schemas.openxmlformats.org/officeDocument/2006/docPropsVTypes"/>
</file>