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likumā "Par iedzīvotāju ienākuma nodokli"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likumā "Par iedzīvotāju ienākuma nodokli" (Latvijas Republikas Augstākās Padomes un Valdības Ziņotājs, 1993, 22./23. nr.; Latvijas Republikas Saeimas un Ministru Kabineta Ziņotājs, 1994, 2., 23. nr.; 1995, 8., 14. nr.; 1996, 9. nr.; 1997, 3., 21. nr.; 1998, 1. nr.; 1999, 24. nr.; 2000, 5. nr.; 2001, 1., 24. nr.; 2002, 6. nr.; 2003, 15. nr.; 2004, 2. nr.; 2005, 2., 8., 24. nr.; 2006, 14., 22. nr.; 2007, 3., 12., 24. nr.; 2008, 12. nr.; 2009, 1., 2., 15., 16. nr.; Latvijas Vēstnesis, 2009, 200. nr.; 2010, 82., 131., 178., 206. nr.; 2011, 99., 144., 157., 204. nr.; 2012, 44., 88., 92., 192. nr.; 2013, 194., 232., 234. nr.; 2014, 47., 57., 257. nr.; 2015, 42., 97., 227., 248. nr.; 2016, 123., 241. nr.; 2017, 156., 242. nr.; 2018, 95., 111., 194., 249. nr.; 2019, 66., 118. nr.; 2020, 138., 240.A, 250. nr.; 2021, 27., 234.A nr.; 2022, 95., 211.A, 238. nr.; 2023, 60., 120.A, 123., 226., 247. nr.; 2024, 240.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Aizstāt 11.</w:t>
      </w:r>
      <w:r w:rsidR="00000000" w:rsidRPr="00000000" w:rsidDel="00000000">
        <w:rPr>
          <w:vertAlign w:val="superscript"/>
          <w:rtl w:val="0"/>
        </w:rPr>
        <w:t xml:space="preserve">9</w:t>
      </w:r>
      <w:r w:rsidR="00000000" w:rsidRPr="00000000" w:rsidDel="00000000">
        <w:rPr>
          <w:rtl w:val="0"/>
        </w:rPr>
        <w:t xml:space="preserve"> pantā vārdus "virtuālā valūta" (attiecīgā locījumā)  ar vārdu "kriptoaktīvi" (attiecīgā locījumā).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pārejas noteikumus ar 203. un 204. punktu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"203. Piemērojot šā likuma 3. panta trešās daļas 7.</w:t>
      </w:r>
      <w:r w:rsidR="00000000" w:rsidRPr="00000000" w:rsidDel="00000000">
        <w:rPr>
          <w:vertAlign w:val="superscript"/>
          <w:rtl w:val="0"/>
        </w:rPr>
        <w:t xml:space="preserve">1</w:t>
      </w:r>
      <w:r w:rsidR="00000000" w:rsidRPr="00000000" w:rsidDel="00000000">
        <w:rPr>
          <w:rtl w:val="0"/>
        </w:rPr>
        <w:t xml:space="preserve"> punktu, no 2025. gada 1. janvāra līdz 2027. gada 31. decembrim ar nodokli neapliek ārvalsts nodokļa maksātāja (nerezidenta) gūto ienākumu no publiskā apgrozībā esošu kriptoaktīvu atsavināšanas.</w:t>
      </w:r>
      <w:r w:rsidR="00000000" w:rsidRPr="00000000" w:rsidDel="00000000">
        <w:rPr>
          <w:rtl w:val="0"/>
        </w:rPr>
        <w:t xml:space="preserve">
</w:t>
      </w:r>
    </w:p>
    <w:p w:rsidP="00000000" w:rsidRDefault="00000000" w:rsidR="00000000" w:rsidRPr="00000000" w:rsidDel="00000000">
      <w:pPr>
        <w:numPr>
          <w:ilvl w:val="0"/>
          <w:numId w:val="1"/>
        </w:numPr>
        <w:ind w:left="0" w:hanging="0"/>
        <w:jc w:val="both"/>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204. Ekonomikas ministrijai izvērtēt un līdz 2027. gada 31. jūlijam iesniegt Ministru kabinetam ziņojumu par šā likuma pārejas noteikumu 203. punktā noteiktā regulējuma turpmākās piemērošanas lietderīgumu. Veicot izvērtējumu, ņem vērā regulējuma ietekmi uz kriptoaktīvu tirgus attīstību Latvijā – nodokļu ieņēmumus, piesaistīto finansējumu un jaunradītās darba vietas nerezidentu kriptoaktīvu pakalpojumu sniedzējiem."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nākamajā dienā pēc tā izsludināšanas.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25-TA-113</w:t>
    </w:r>
    <w:r>
      <w:br/>
    </w:r>
    <w:r w:rsidR="00000000" w:rsidRPr="00000000" w:rsidDel="00000000">
      <w:rPr>
        <w:rtl w:val="0"/>
      </w:rPr>
      <w:t xml:space="preserve">Izdrukāts 29.07.2026. 23.04 - 1.0.VK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25-TA-113</w:t>
    </w:r>
    <w:r>
      <w:br/>
    </w:r>
    <w:r w:rsidR="00000000" w:rsidRPr="00000000" w:rsidDel="00000000">
      <w:rPr>
        <w:rtl w:val="0"/>
      </w:rPr>
      <w:t xml:space="preserve">Izdrukāts 29.07.2026. 23.04 - 1.0.VK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likumprojekts_(grozījumi)_25-TA-113.docx</dc:title>
</cp:coreProperties>
</file>

<file path=docProps/custom.xml><?xml version="1.0" encoding="utf-8"?>
<Properties xmlns="http://schemas.openxmlformats.org/officeDocument/2006/custom-properties" xmlns:vt="http://schemas.openxmlformats.org/officeDocument/2006/docPropsVTypes"/>
</file>