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janvārī (prot. Nr. 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 (Latvijas Vēstnesis, 2021, 245.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iznākuma rādītāju – augstskolu skaits, kuras saņēmušas Eiropas Sociālā fonda atbalstu digitalizācijas iniciatīvu ieviešanai, kas veicina mūsdienīgu, inovatīvos tehnoloģiskos risinājumos balstītu studiju procesu, – 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rezultāta rādītāju – augstskolu skaits, kuras ieviesušas digitalizācijas iniciatīvas, kas veicina mūsdienīgu, inovatīvos tehnoloģiskos risinājumos balstītu studiju procesu, – 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Pasākumam pieejamais kopējais attiecināmais finansējums ir 7 860 001 </w:t>
      </w:r>
      <w:r w:rsidR="00000000" w:rsidRPr="00000000" w:rsidDel="00000000">
        <w:rPr>
          <w:i w:val="1"/>
          <w:rtl w:val="0"/>
        </w:rPr>
        <w:t xml:space="preserve">euro</w:t>
      </w:r>
      <w:r w:rsidR="00000000" w:rsidRPr="00000000" w:rsidDel="00000000">
        <w:rPr>
          <w:rtl w:val="0"/>
        </w:rPr>
        <w:t xml:space="preserve">, tai skaitā Eiropas Sociālā fonda finansējums no programmas "Atveseļošanas palīdzība kohēzijai un Eiropas teritorijām" (turpmāk – </w:t>
      </w:r>
      <w:r w:rsidR="00000000" w:rsidRPr="00000000" w:rsidDel="00000000">
        <w:rPr>
          <w:i w:val="1"/>
          <w:rtl w:val="0"/>
        </w:rPr>
        <w:t xml:space="preserve">REACT-EU</w:t>
      </w:r>
      <w:r w:rsidR="00000000" w:rsidRPr="00000000" w:rsidDel="00000000">
        <w:rPr>
          <w:rtl w:val="0"/>
        </w:rPr>
        <w:t xml:space="preserve">) – 5 627 882 </w:t>
      </w:r>
      <w:r w:rsidR="00000000" w:rsidRPr="00000000" w:rsidDel="00000000">
        <w:rPr>
          <w:i w:val="1"/>
          <w:rtl w:val="0"/>
        </w:rPr>
        <w:t xml:space="preserve">euro</w:t>
      </w:r>
      <w:r w:rsidR="00000000" w:rsidRPr="00000000" w:rsidDel="00000000">
        <w:rPr>
          <w:rtl w:val="0"/>
        </w:rPr>
        <w:t xml:space="preserve"> un valsts budžeta finansējums – 2 232 119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augstskola īsteno projektu, kas nav kvalificējams kā komercdarbības atbalsts, un tā maksimālā publiskā finansējuma intensitāte ir 100 procenti. Maksimālais attiecināmais </w:t>
      </w:r>
      <w:r w:rsidR="00000000" w:rsidRPr="00000000" w:rsidDel="00000000">
        <w:rPr>
          <w:i w:val="1"/>
          <w:rtl w:val="0"/>
        </w:rPr>
        <w:t xml:space="preserve">REACT-EU</w:t>
      </w:r>
      <w:r w:rsidR="00000000" w:rsidRPr="00000000" w:rsidDel="00000000">
        <w:rPr>
          <w:rtl w:val="0"/>
        </w:rPr>
        <w:t xml:space="preserve"> finansējuma apmērs nepārsniedz 71,60 procentus no pasākumam pieejamā kopējā attiecināmā finansējuma.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 projekta īstenošanas personāla, tai skaitā ekspertu, speciālistu, konsultantu, tostarp ārvalstu, atlīdzības izmaksas, izņemot virsstundas, šo noteikumu 17.1., 17.2., 19.3. un 19.4. apakšpunktā minēto darbību īstenošanai, kā arī digitalizācijas aģentu (mentoru) izmaksas šo noteikumu 17.1. un 17.2. apakšpunktā minētās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Plānojot šo noteikumu 20.1. apakšpunktā minētās tiešās attiecināmās personāla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projekta īstenošanas laikā finansējuma saņēmējam ir paredzēts avanss, to var izmaksāt pa daļām. Viens avansa maksājums nepārsniedz 30 procentus no projektam piešķirtā Eiropas Sociālā fonda finansējuma un valsts budžeta finansējuma kopsummas. Ievērojot drošas finanšu vadības principus, finansējuma saņēmējiem, kuriem ir no valsts budžeta daļēji finansētas atvasinātas publiskas personas statuss un kuri projektu īsteno tiem deleģēto valsts pārvaldes uzdevumu ietvaros, avansa un starpposma maksājumu kopsumma var būt 100 procenti no projektam piešķirtā Eiropas Sociālā fonda finansējuma un valsts budžeta finansējuma kopsummas. Ievērojot drošas finanšu vadības principus, finansējuma saņēmējiem, kas ir privātpersonu dibinātas augstskolas, avansa un starpposma maksājumu kopsumma var būt 90 procenti no projektā paredzētā Eiropas Sociālā fonda finansējuma un valsts budžeta 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22-TA-3268</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22-TA-3268</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noteikumu_(grozījumu)_projekts_22-TA-3268.docx</dc:title>
</cp:coreProperties>
</file>

<file path=docProps/custom.xml><?xml version="1.0" encoding="utf-8"?>
<Properties xmlns="http://schemas.openxmlformats.org/officeDocument/2006/custom-properties" xmlns:vt="http://schemas.openxmlformats.org/officeDocument/2006/docPropsVTypes"/>
</file>