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Latvijas Republikas finanšu ministrs Arvils Ašeradens ir pilnvarots Latvijas Republikas (valdības) vārdā parakstīt Latvijas Republikas (valdības) un Eiropas Komisijas Atveseļošanas fonda plāna Darbības kārtības grozījumus, par ko vienojas Eiropas Komisija un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24-TA-449</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24-TA-449</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pilnvarojums_latviešu_valodā_24-TA-449.docx</dc:title>
</cp:coreProperties>
</file>

<file path=docProps/custom.xml><?xml version="1.0" encoding="utf-8"?>
<Properties xmlns="http://schemas.openxmlformats.org/officeDocument/2006/custom-properties" xmlns:vt="http://schemas.openxmlformats.org/officeDocument/2006/docPropsVTypes"/>
</file>