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10. maijā (prot. Nr. 26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marta noteikumos Nr. 172 "Noteikumi par informāciju, kas nepieciešama, lai nodrošinātu atbalsta sniegšanu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15. marta noteikumos Nr. 172 "Noteikumi par informāciju, kas nepieciešama, lai nodrošinātu atbalsta sniegšanu Ukrainas civiliedzīvotājiem" (Latvijas Vēstnesis, 2022, 53A.,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sadarbības teritorijas civilās aizsardzības komisijai, vienotajam valsts un pašvaldības sniegtā atbalsta koordinācijas punktam, vienotajam valsts un pašvaldības klientu apkalpošanas centram vai pašvaldības klientu apkalpošanas struktūrvienībai un Valsts ugunsdzēsības un glābšanas dienestam, pieņemot pieteikumu par nepieciešamo atbalstu, rodas šaubas, vai persona ir Ukrainas civiliedzīvotājs, tad Fizisko personu reģistrā ziņas par šo personu neiekļauj un fiksēto informāciju par reģistrācijas atteikuma iemeslu nodod Pilsonības un migrācijas lietu pārvaldei izskatīšanai.";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pašvaldība mājsaimniecībai ir piešķīrusi atlīdzību par Ukrainas civiliedzīvotāju izmitināšanu (turpmāk – atlīdzība mājsaimniecībai) atbilstoši šo noteikumu 2.1.7. apakšpunktā minētajai adresei, pašvaldība fiksē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attiecīgā lēmuma numurs un pieņemšanas datums, ar kuru piešķirta atlīdzība mājsaimniecībai;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institūcija, kura ir pieņēmusi attiecīgo lēmumu par atlīdzības mājsaimniecībai piešķiršanu;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laikposms, par kuru piešķirta atlīdzība mājsaimniecībai;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tās personas vārds (vārdi), uzvārds, dzimšanas datums un Latvijas Republikā piešķirtais personas kods, par kuras izmitināšanu piešķirta atlīdzība mājsaimniecībai.";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2., 5. un 5.</w:t>
      </w:r>
      <w:r w:rsidR="00000000" w:rsidRPr="00000000" w:rsidDel="00000000">
        <w:rPr>
          <w:vertAlign w:val="superscript"/>
          <w:rtl w:val="0"/>
        </w:rPr>
        <w:t xml:space="preserve">1</w:t>
      </w:r>
      <w:r w:rsidR="00000000" w:rsidRPr="00000000" w:rsidDel="00000000">
        <w:rPr>
          <w:rtl w:val="0"/>
        </w:rPr>
        <w:t xml:space="preserve"> punktā minētā informācija ir pieejama visām sadarbības teritorijas civilās aizsardzības komisijām, visiem vienotajiem valsts un pašvaldības sniegtā atbalsta koordinācijas punktiem, visiem vienotajiem valsts un pašvaldību klientu apkalpošanas centriem un pašvaldību klientu apkalpošanas struktūrvienībām, Valsts ugunsdzēsības un glābšanas dienestam, kā arī Pilsonības un migrācijas lietu pārvaldei, lai nodrošinātu koordinētu personai nepieciešamā atbalsta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2., 5. un 5.</w:t>
      </w:r>
      <w:r w:rsidR="00000000" w:rsidRPr="00000000" w:rsidDel="00000000">
        <w:rPr>
          <w:vertAlign w:val="superscript"/>
          <w:rtl w:val="0"/>
        </w:rPr>
        <w:t xml:space="preserve">1</w:t>
      </w:r>
      <w:r w:rsidR="00000000" w:rsidRPr="00000000" w:rsidDel="00000000">
        <w:rPr>
          <w:rtl w:val="0"/>
        </w:rPr>
        <w:t xml:space="preserve"> punktā minēto informāciju glabā gadu no informācijas iegūšanas brīža, bet ne ilgāk kā līdz 2023.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vienlaikus ar grozījumiem Ukrainas civiliedzīvotāju atbalsta likumā, kas paredz atlīdzību mājsaimniecībai par Ukrainas civiliedzīvotāju izmitināšanu.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vietā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22-TA-1490</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22-TA-1490</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noteikumu_(grozījumu)_projekts_22-TA-1490.docx</dc:title>
</cp:coreProperties>
</file>

<file path=docProps/custom.xml><?xml version="1.0" encoding="utf-8"?>
<Properties xmlns="http://schemas.openxmlformats.org/officeDocument/2006/custom-properties" xmlns:vt="http://schemas.openxmlformats.org/officeDocument/2006/docPropsVTypes"/>
</file>