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373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25. jūnijā (prot. Nr. 25 30.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akciju sabiedrības "Latvijas dzelzceļš" izšķirošās ietekmes un līdzdalības izbeigšanu sabiedrībā ar ierobežotu atbildību "LDZ ritošā sastāva serviss" un sabiedrībā ar ierobežotu atbildību "LDZ Loģistika"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Saskaņā ar </w:t>
      </w:r>
      <w:r w:rsidR="00000000" w:rsidRPr="00000000" w:rsidDel="00000000">
        <w:rPr>
          <w:rStyle w:val="paragraph"/>
          <w:rtl w:val="0"/>
        </w:rPr>
        <w:t xml:space="preserve">Publiskas personas kapitāla daļu un kapitālsabiedrību pārvaldības likuma</w:t>
      </w:r>
      <w:r w:rsidR="00000000" w:rsidRPr="00000000" w:rsidDel="00000000">
        <w:rPr>
          <w:rStyle w:val="paragraph"/>
          <w:rtl w:val="0"/>
        </w:rPr>
        <w:t xml:space="preserve"> 5. panta otro daļu, 9. panta otro daļu un 118. panta otro daļu atļaut valsts akciju sabiedrībai "Latvijas dzelzceļš" (reģistrācijas Nr. 40003032065):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Izbeigt līdzdalību sabiedrībā ar ierobežotu atbildību "LDZ ritošā sastāva serviss" (reģistrācijas Nr. 40003788351), reorganizācijas rezultātā to pievienojot sabiedrībai ar ierobežotu atbildību "LDZ CARGO" (reģistrācijas Nr. 40003788421).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Izbeigt līdzdalību sabiedrībā ar ierobežotu atbildību "LDZ Loģistika" (reģistrācijas Nr. 40003988480), reorganizācijas rezultātā to pievienojot sabiedrībai ar ierobežotu atbildību "LDZ CARGO" (reģistrācijas Nr. 40003788421).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25-TA-692</w:t>
    </w:r>
    <w:r>
      <w:br/>
    </w:r>
    <w:r w:rsidR="00000000" w:rsidRPr="00000000" w:rsidDel="00000000">
      <w:rPr>
        <w:rtl w:val="0"/>
      </w:rPr>
      <w:t xml:space="preserve">Izdrukāts 29.07.2026. 23.51 - 1.0.VK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25-TA-692</w:t>
    </w:r>
    <w:r>
      <w:br/>
    </w:r>
    <w:r w:rsidR="00000000" w:rsidRPr="00000000" w:rsidDel="00000000">
      <w:rPr>
        <w:rtl w:val="0"/>
      </w:rPr>
      <w:t xml:space="preserve">Izdrukāts 29.07.2026. 23.51 - 1.0.VK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rīkojuma_projekts_25-TA-692.docx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