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368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31. maijā (prot. Nr. 29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zemes vienību piederību vai piekritību valstij un to nostiprināšanu zemesgrāmatā uz valsts vārda Finanšu ministrijas personā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Zemes pārvaldības likuma 17. panta piekto daļu un pārejas noteikumu 11. punktu, likuma "Par valsts un pašvaldību zemes īpašuma tiesībām un to nostiprināšanu zemesgrāmatās" 2. pantu, 4.</w:t>
      </w:r>
      <w:r w:rsidR="00000000" w:rsidRPr="00000000" w:rsidDel="00000000">
        <w:rPr>
          <w:vertAlign w:val="superscript"/>
          <w:rtl w:val="0"/>
        </w:rPr>
        <w:t xml:space="preserve">1</w:t>
      </w:r>
      <w:r w:rsidR="00000000" w:rsidRPr="00000000" w:rsidDel="00000000">
        <w:rPr>
          <w:rtl w:val="0"/>
        </w:rPr>
        <w:t xml:space="preserve"> panta pirmo daļu un 8. panta sesto daļu saglabāt valsts īpašumā un nodot Finanšu ministrijas valdījumā šā rīkojuma pielikumā minētās zemes vienības, kas nepieciešamas Publiskas personas mantas atsavināšanas likumā minēto funkciju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ministrijai īpašuma tiesības uz šā rīkojuma </w:t>
      </w:r>
      <w:r w:rsidR="00000000" w:rsidRPr="00000000" w:rsidDel="00000000">
        <w:rPr>
          <w:rtl w:val="0"/>
        </w:rPr>
        <w:t xml:space="preserve">pielikumā</w:t>
      </w:r>
      <w:r w:rsidR="00000000" w:rsidRPr="00000000" w:rsidDel="00000000">
        <w:rPr>
          <w:rtl w:val="0"/>
        </w:rPr>
        <w:t xml:space="preserve"> minētajām zemes vienībām normatīvajos aktos noteiktajā kārtībā nostiprināt zemesgrāmatā uz valsts vārda Finanšu ministrijas personā.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ārlietu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Rinkēvičs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22-TA-470</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22-TA-470</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rīkojuma_projekts_22-TA-470.docx</dc:title>
</cp:coreProperties>
</file>

<file path=docProps/custom.xml><?xml version="1.0" encoding="utf-8"?>
<Properties xmlns="http://schemas.openxmlformats.org/officeDocument/2006/custom-properties" xmlns:vt="http://schemas.openxmlformats.org/officeDocument/2006/docPropsVTypes"/>
</file>