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66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4. februārī (prot. Nr. 5 13.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civilā eksperta dalības laika pagarināšanu Eiropas Savienības Novērošanas misijā Gruzijā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Pamatojoties uz </w:t>
      </w:r>
      <w:r w:rsidR="00000000" w:rsidRPr="00000000" w:rsidDel="00000000">
        <w:rPr>
          <w:rtl w:val="0"/>
        </w:rPr>
        <w:t xml:space="preserve">Starptautiskās</w:t>
      </w:r>
      <w:r w:rsidR="00000000" w:rsidRPr="00000000" w:rsidDel="00000000">
        <w:rPr>
          <w:rtl w:val="0"/>
        </w:rPr>
        <w:t xml:space="preserve"> palīdzības likuma 12. panta otro daļu</w:t>
      </w:r>
      <w:r w:rsidR="00000000" w:rsidRPr="00000000" w:rsidDel="00000000">
        <w:rPr>
          <w:rtl w:val="0"/>
        </w:rPr>
        <w:t xml:space="preserve"> atbalstīt dalības laika pagarināšanu Eiropas Savienības Novērošanas misijā Gruzijā (turpmāk – starptautiskā misija) šādam neatkarīgajam civilajam ekspertam (turpmāk – civilais eksperts):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Reinis Janevics;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(IP) </w:t>
      </w:r>
      <w:r w:rsidR="00000000" w:rsidRPr="00000000" w:rsidDel="00000000">
        <w:rPr>
          <w:i w:val="1"/>
          <w:rtl w:val="0"/>
        </w:rPr>
        <w:t xml:space="preserve">Ierobežotas pieejamības informācija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Saskaņā ar </w:t>
      </w:r>
      <w:r w:rsidR="00000000" w:rsidRPr="00000000" w:rsidDel="00000000">
        <w:rPr>
          <w:rtl w:val="0"/>
        </w:rPr>
        <w:t xml:space="preserve">Ministru kabineta 2020. gada 22. septembra noteikumu Nr. 598 "Kārtība, kādā civilo ekspertu nosūta dalībai starptautiskajā misijā vai operācijā" (turpmāk – noteikumi) 11. punktu </w:t>
      </w:r>
      <w:r w:rsidR="00000000" w:rsidRPr="00000000" w:rsidDel="00000000">
        <w:rPr>
          <w:rtl w:val="0"/>
        </w:rPr>
        <w:t xml:space="preserve">pagarināt civilā eksperta dalības laiku starptautiskajā misijā no 2025. gada 2. februāra līdz 2026. gada 1. februārim.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Pamatojoties uz noteikumu 7.4. apakšpunktu, noteikt neatkarīgajam civilajam ekspertam koeficientu 1,4 piemaksas aprēķināšanai par dalību starptautiskajā misijā.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Saskaņā ar noteikumu 17. un 18. punktu civilajam ekspertam tiek izmaksāta minimālā mēneša darba alga un piemaksa (taktiskais amata līmenis) proporcionāli darba dienām. Ārlietu ministrijai veikt valsts sociālās apdrošināšanas iemaksas. 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Saskaņā ar noteikumu 19. punktu civilajam ekspertam tiek segti šādi izdevumi: 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dzīvokļa (dzīvojamās telpas) īres un citu ar dzīvojamās telpas lietošanu saistīto pakalpojumu izdevumi, nepārsniedzot taktiskajam amata līmenim noteikumos noteikto apmēru;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ceļa izdevumi atvaļinājuma braucienam līdz 500 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2025. gadā un, pārceļoties no dienesta vietas, līdz 250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 2026. gadā;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izdevumi par bagāžas transportēšanu, pārceļoties no dienesta vietas, līdz 100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2026. gadā;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dzīvības un veselības apdrošināšanas izdevumi, pārceļoties no dienesta vietas, līdz 5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2026. gadā.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Ārlietu ministrijai finansējumu 52 444 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 šā rīkojuma 4. un 5. punktā minēto izdevumu segšanai.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Finanšu ministrijai precizēt un palielināt Ārlietu ministrijas budžeta bāzes izdevumus 2026. gadam programmā 97.00.00 "Nozaru vadība un politikas plānošana" 5 199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civilā eksperta darbības nodrošināšanai no 2026. gada 1. janvāra.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Ārlietu ministra pienākumu izpildītājs ‒ 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Kozlovskis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25-TA-135</w:t>
    </w:r>
    <w:r>
      <w:br/>
    </w:r>
    <w:r w:rsidR="00000000" w:rsidRPr="00000000" w:rsidDel="00000000">
      <w:rPr>
        <w:rtl w:val="0"/>
      </w:rPr>
      <w:t xml:space="preserve">Izdrukāts 29.07.2026. 22.28 - 1.0.VK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25-TA-135</w:t>
    </w:r>
    <w:r>
      <w:br/>
    </w:r>
    <w:r w:rsidR="00000000" w:rsidRPr="00000000" w:rsidDel="00000000">
      <w:rPr>
        <w:rtl w:val="0"/>
      </w:rPr>
      <w:t xml:space="preserve">Izdrukāts 29.07.2026. 22.28 - 1.0.VK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rīkojuma_projekts_25-TA-135.docx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